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6"/>
          <w:szCs w:val="36"/>
        </w:rPr>
        <w:t xml:space="preserve">板橋模型解釋力較低之原因探討</w:t>
      </w:r>
    </w:p>
    <w:p>
      <w:pPr>
        <w:spacing w:after="3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4"/>
          <w:szCs w:val="24"/>
        </w:rPr>
        <w:t xml:space="preserve">依據四區建模結果與資料分布之比較分析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一、簡短版（可直接置入結果或討論段落）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在四個研究地區中，板橋的測試集 R² 為 0.834、SMAPE 為 15.42%，明顯低於左營（R²=0.876、SMAPE=11.99%）、桃園（R²=0.943、SMAPE=11.31%）與竹北（R²=0.918、SMAPE=13.75%）。本研究推論其主要原因為：(1) 板橋為四區中價格區間最廣的市場，單價範圍涵蓋 6~125 萬／坪、總價涵蓋 200~12,269 萬元，價格跨度約為其他地區的 1.5~2 倍；(2) 板橋屋齡呈現雙峰分布，屋齡 ≤5 年新成屋與 &gt;40 年老屋分別占 17.5% 與 22.6%，兩者單價中位數差距達 1.5 倍以上，使單一模型難以同時擬合新／舊市場；(3) 在低總價區段（&lt;800 萬）的測試樣本，APE 中位數高達 43%，遠高於 1,500 萬以上區段的 7~12%，顯示誤差主要集中在小坪數老屋這個次群體。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二、完整版（建議置於「討論」章節作為子節）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板橋模型解釋力相對較低之原因探討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四區模型結果顯示，板橋的測試集表現（R²=0.834、RMSE=491.3、SMAPE=15.42%）相較其他三區（左營 R²=0.876、桃園 R²=0.943、竹北 R²=0.918）為最低。雖然其交叉驗證 R² 平均值（0.867）與測試集差距僅 0.033，顯示模型本身並未過度擬合，但其絕對解釋力確實落後。本研究歸納以下三個主要原因：</w:t>
      </w:r>
    </w:p>
    <w:p>
      <w:pPr>
        <w:pStyle w:val="Heading3"/>
        <w:spacing w:after="14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(一) 價格分布跨度大、市場異質性高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板橋的單價分布範圍為 6~125 萬／坪（總價 200~12,269 萬元），跨度約為左營（5~69 萬／坪）的兩倍、桃園（5~65 萬／坪）的近兩倍，且第 5 與第 95 百分位差距達 60 萬／坪，顯著高於其他地區（左營 34、桃園 33、竹北 46）。此一現象反映板橋作為新北市核心都會區，同時包含江翠重劃區的高價新屋（如 24 層住宅大樓單價可達 120 萬／坪以上）與府中、後埔一帶 30 年以上的老舊公寓（單價低於 10 萬／坪），市場結構高度異質。當模型須在同一條映射函數下涵蓋如此寬廣的價格區段時，預測誤差自然較高。</w:t>
      </w:r>
    </w:p>
    <w:p>
      <w:pPr>
        <w:pStyle w:val="Heading3"/>
        <w:spacing w:after="14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(二) 屋齡呈雙峰分布，新成屋與老屋並存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進一步分析顯示，板橋屋齡分布呈現明顯雙峰：屋齡 ≤5 年的新成屋占 17.5%、屋齡 &gt;40 年的老屋占 22.6%，兩端合計超過 40%。相較之下，左營與竹北的 40 年以上老屋僅分別占 2.0% 與 0.4%，桃園亦僅 8.0%。板橋新／舊兩端屋齡群體的單價中位數分別為 68.7 與 45.4 萬／坪，差距達 1.5 倍以上；且同一屋齡分組內的變異係數（CV）持續維持在 0.20~0.29，高於桃園的 0.16~0.25，意味著即使在控制屋齡後，板橋區內的價格離散程度仍較大。這種雙峰結構增加了線性與樹狀模型同時擬合兩個次市場的難度。</w:t>
      </w:r>
    </w:p>
    <w:p>
      <w:pPr>
        <w:pStyle w:val="Heading3"/>
        <w:spacing w:after="14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(三) 誤差集中於低總價區段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從測試集殘差分析來看，板橋誤差並非均勻分布，而是高度集中於低總價區段。將測試樣本依總價分箱後可發現：總價 &lt;800 萬的樣本（n=64）APE 中位數為 43.0%、第 95 百分位達 343.7%，而 1,500~4,000 萬區段的 APE 中位數僅 6.8~7.1%、第 95 百分位約 27~29%。檢視誤差最大的 15 筆樣本，皆為總價 240~1,380 萬之間的低總價物件，模型普遍將其高估為 1,000~3,500 萬。這類樣本多為小坪數老屋或頂加違建戶等特殊產品，其價格受個別交易條件（如屋況、貸款、私下協議）影響甚鉅，已超出可量化特徵的解釋範圍。若將 &lt;800 萬之尾端樣本剔除，板橋整體 SMAPE 可望接近其他三區的水準。</w:t>
      </w:r>
    </w:p>
    <w:p>
      <w:pPr>
        <w:pStyle w:val="Heading3"/>
        <w:spacing w:after="14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(四) 特徵層面的補充說明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從特徵權重來看，板橋與其他三區一致以 log_area、屋齡、area_x_log_hsr、距離捷運／高鐵為核心解釋變數，顯示模型結構並無偏誤。然而，本研究所建構之距離與點位特徵（捷運、學校、商圈等）難以完整捕捉板橋舊市區的「街廓品質」「巷弄寬窄」「重劃區邊界」等微觀差異；當價格本身分散程度大於可觀測特徵所能解釋的範圍時，模型解釋力自然受限。</w:t>
      </w:r>
    </w:p>
    <w:p>
      <w:pPr>
        <w:pStyle w:val="Heading3"/>
        <w:spacing w:after="14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(五) 小結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4"/>
          <w:szCs w:val="24"/>
        </w:rPr>
        <w:t xml:space="preserve">綜上所述，板橋模型解釋力相對較低，並非源於模型本身的擬合不足（訓練/測試 R² 差距僅 0.057），而是反映標的市場本身的高度異質性：寬廣的價格區間、雙峰屋齡結構，以及低總價尾端的長尾誤差。未來若針對 800 萬以下小坪數老屋另行建模，或加入更細緻的街廓／重劃區虛擬變數，預期可進一步提升板橋模型的解釋力。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三、四區關鍵數字比較表</w:t>
      </w:r>
    </w:p>
    <w:p>
      <w:pPr>
        <w:spacing w:after="80" w:before="80" w:line="36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註：紅字標示為板橋與其他三區存在明顯差異之指標。</w:t>
      </w:r>
    </w:p>
    <w:p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20"/>
        <w:gridCol w:w="1620"/>
        <w:gridCol w:w="1620"/>
        <w:gridCol w:w="16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板橋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左營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桃園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竹北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樣本數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3,167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1,546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3,640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1,378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單價範圍（萬/坪）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22"/>
                <w:szCs w:val="22"/>
              </w:rPr>
              <w:t xml:space="preserve">6–125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5–69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5–65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6–99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總價範圍（萬元）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22"/>
                <w:szCs w:val="22"/>
              </w:rPr>
              <w:t xml:space="preserve">200–12,269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200–5,610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205–8,300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201–12,680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屋齡 &gt;40 年占比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22"/>
                <w:szCs w:val="22"/>
              </w:rPr>
              <w:t xml:space="preserve">22.6%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2.0%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8.0%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0.4%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屋齡 ≤5 年占比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17.5%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24.3%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17.9%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18.6%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測試集 R²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22"/>
                <w:szCs w:val="22"/>
              </w:rPr>
              <w:t xml:space="preserve">0.834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0.876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0.943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0.918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測試集 SMAPE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22"/>
                <w:szCs w:val="22"/>
              </w:rPr>
              <w:t xml:space="preserve">15.42%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11.99%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11.31%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13.75%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訓練/測試 R² gap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0.057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0.062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0.019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0.027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Microsoft JhengHei" w:cs="Microsoft JhengHei" w:eastAsia="Microsoft JhengHei" w:hAnsi="Microsoft JhengHe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2026-05-27T06:11:02.625Z</dcterms:created>
  <dcterms:modified xsi:type="dcterms:W3CDTF">2026-05-27T06:11:02.626Z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