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1858" w14:textId="77777777" w:rsidR="009A7AC4" w:rsidRDefault="00000000">
      <w:pPr>
        <w:spacing w:after="200"/>
        <w:jc w:val="center"/>
      </w:pPr>
      <w:r>
        <w:rPr>
          <w:rFonts w:eastAsia="微軟正黑體"/>
          <w:b/>
          <w:bCs/>
          <w:sz w:val="36"/>
          <w:szCs w:val="36"/>
        </w:rPr>
        <w:t xml:space="preserve">跨區房價預測模型之比較研究：以 </w:t>
      </w:r>
      <w:proofErr w:type="spellStart"/>
      <w:r>
        <w:rPr>
          <w:rFonts w:eastAsia="微軟正黑體"/>
          <w:b/>
          <w:bCs/>
          <w:sz w:val="36"/>
          <w:szCs w:val="36"/>
        </w:rPr>
        <w:t>LightGBM</w:t>
      </w:r>
      <w:proofErr w:type="spellEnd"/>
      <w:r>
        <w:rPr>
          <w:rFonts w:eastAsia="微軟正黑體"/>
          <w:b/>
          <w:bCs/>
          <w:sz w:val="36"/>
          <w:szCs w:val="36"/>
        </w:rPr>
        <w:t xml:space="preserve"> 結合 Ridge 殘差修正為例</w:t>
      </w:r>
    </w:p>
    <w:p w14:paraId="6AFEBB10" w14:textId="77777777" w:rsidR="009A7AC4" w:rsidRDefault="00000000">
      <w:pPr>
        <w:spacing w:after="60"/>
        <w:jc w:val="center"/>
      </w:pPr>
      <w:r>
        <w:rPr>
          <w:rFonts w:eastAsia="微軟正黑體"/>
          <w:i/>
          <w:iCs/>
          <w:color w:val="595959"/>
        </w:rPr>
        <w:t>（中文審閱稿）</w:t>
      </w:r>
    </w:p>
    <w:p w14:paraId="495B3F83" w14:textId="77777777" w:rsidR="009A7AC4" w:rsidRDefault="00000000">
      <w:pPr>
        <w:spacing w:after="4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Aaron</w:t>
      </w:r>
    </w:p>
    <w:p w14:paraId="4CA0513E" w14:textId="77777777" w:rsidR="009A7AC4" w:rsidRDefault="00000000">
      <w:pPr>
        <w:spacing w:after="240"/>
        <w:jc w:val="center"/>
      </w:pPr>
      <w:r>
        <w:rPr>
          <w:rFonts w:eastAsia="微軟正黑體"/>
        </w:rPr>
        <w:t>〔系所待補〕</w:t>
      </w:r>
      <w:r>
        <w:rPr>
          <w:rFonts w:eastAsia="微軟正黑體"/>
        </w:rPr>
        <w:br/>
        <w:t>〔學校名稱、城市、國家〕</w:t>
      </w:r>
      <w:r>
        <w:rPr>
          <w:rFonts w:ascii="Times New Roman" w:eastAsia="Times New Roman" w:hAnsi="Times New Roman" w:cs="Times New Roman"/>
        </w:rPr>
        <w:br/>
        <w:t>Email: 74807480xx@gmail.com</w:t>
      </w:r>
    </w:p>
    <w:p w14:paraId="3D598A65" w14:textId="77777777" w:rsidR="009A7AC4" w:rsidRDefault="00000000">
      <w:pPr>
        <w:spacing w:before="280" w:after="140"/>
      </w:pPr>
      <w:r>
        <w:rPr>
          <w:rFonts w:eastAsia="微軟正黑體"/>
          <w:b/>
          <w:bCs/>
          <w:color w:val="1F3864"/>
          <w:sz w:val="28"/>
          <w:szCs w:val="28"/>
        </w:rPr>
        <w:t>摘要</w:t>
      </w:r>
    </w:p>
    <w:p w14:paraId="2F1F1A7C" w14:textId="77777777" w:rsidR="009A7AC4" w:rsidRDefault="00000000">
      <w:pPr>
        <w:spacing w:before="60" w:after="60" w:line="320" w:lineRule="auto"/>
        <w:ind w:firstLine="480"/>
        <w:jc w:val="both"/>
      </w:pPr>
      <w:r>
        <w:rPr>
          <w:rFonts w:eastAsia="微軟正黑體"/>
        </w:rPr>
        <w:t>本研究以臺灣四個代表性都市行政區（新北市板橋區、高雄市左營區、桃園市桃園區、新竹縣竹北市）為對象，建立跨區房價預測模型並進行比較分析。資料來源為內政部不動產交易實價登錄之公開資料，並建構一致的前處理與特徵工程流程，每筆交易萃取出 45 個預測特徵，涵蓋空間距離、興趣點密度、建物屬性與總體房價指數等構面。針對各區分別訓練「</w:t>
      </w:r>
      <w:proofErr w:type="spellStart"/>
      <w:r>
        <w:rPr>
          <w:rFonts w:eastAsia="微軟正黑體"/>
        </w:rPr>
        <w:t>LightGBM</w:t>
      </w:r>
      <w:proofErr w:type="spellEnd"/>
      <w:r>
        <w:rPr>
          <w:rFonts w:eastAsia="微軟正黑體"/>
        </w:rPr>
        <w:t xml:space="preserve"> 結合 Ridge 殘差修正」之混合模型，採用 70%、10%、20% 的訓練、驗證與測試切分，並輔以五折交叉驗證。模型在保留測試集上之決定係數（R²）介於 0.834 至 0.943 之間，對稱平均絕對百分比誤差（SMAPE）介於 11.31% 至 15.42% 之間。跨區比較顯示，預測表現受市場異質性影響甚鉅：價格區間越廣、屋齡分布呈雙峰之區域（如板橋）解釋力顯著偏低。本研究結果提供量化證據，說明單一區域模型適用於市場結構同質性高之區域，但對於高度異質之都市行政區，應輔以分段子模型或更細緻之微觀空間特徵。</w:t>
      </w:r>
    </w:p>
    <w:p w14:paraId="5747E010" w14:textId="77777777" w:rsidR="009A7AC4" w:rsidRDefault="00000000">
      <w:pPr>
        <w:spacing w:before="280" w:after="140"/>
      </w:pPr>
      <w:r>
        <w:rPr>
          <w:rFonts w:eastAsia="微軟正黑體"/>
          <w:b/>
          <w:bCs/>
          <w:color w:val="1F3864"/>
          <w:sz w:val="28"/>
          <w:szCs w:val="28"/>
        </w:rPr>
        <w:t>關鍵詞</w:t>
      </w:r>
    </w:p>
    <w:p w14:paraId="7B6B978E" w14:textId="77777777" w:rsidR="009A7AC4" w:rsidRDefault="00000000">
      <w:pPr>
        <w:spacing w:before="60" w:after="60" w:line="320" w:lineRule="auto"/>
        <w:jc w:val="both"/>
      </w:pPr>
      <w:r>
        <w:rPr>
          <w:rFonts w:eastAsia="微軟正黑體"/>
        </w:rPr>
        <w:t>特徵工程、梯度提升、特徵價格模型、不動產分析、Ridge 迴歸、都市異質性。</w:t>
      </w:r>
    </w:p>
    <w:p w14:paraId="69A2294E" w14:textId="77777777" w:rsidR="009A7AC4" w:rsidRDefault="00000000">
      <w:pPr>
        <w:spacing w:before="280" w:after="140"/>
      </w:pPr>
      <w:r>
        <w:rPr>
          <w:rFonts w:eastAsia="微軟正黑體"/>
          <w:b/>
          <w:bCs/>
          <w:color w:val="1F3864"/>
          <w:sz w:val="28"/>
          <w:szCs w:val="28"/>
        </w:rPr>
        <w:t>一、 緒論</w:t>
      </w:r>
    </w:p>
    <w:p w14:paraId="0D1785F5" w14:textId="77777777" w:rsidR="009A7AC4" w:rsidRDefault="00000000">
      <w:pPr>
        <w:spacing w:before="60" w:after="60" w:line="320" w:lineRule="auto"/>
        <w:ind w:firstLine="480"/>
        <w:jc w:val="both"/>
      </w:pPr>
      <w:r>
        <w:rPr>
          <w:rFonts w:eastAsia="微軟正黑體"/>
        </w:rPr>
        <w:t>住宅價格的準確預測是都市經濟學長久以來的研究議題，亦是購屋者、貸款機構與政策制定者的重要決策支援課題。特徵價格模型（hedonic price model）數十年來提供其理論基礎，將交易價格歸因於結構性、區位性與鄰里屬性等變數所組成之集合 [1]。近年來大規模公開實價登錄資料的釋出，加上機器學習迴歸方法的進展，使資料驅動取向之研究興起，逐步超越傳統的線性特徵價格設定 [2], [3]。</w:t>
      </w:r>
    </w:p>
    <w:p w14:paraId="5A7ABBB4" w14:textId="77777777" w:rsidR="009A7AC4" w:rsidRDefault="00000000">
      <w:pPr>
        <w:spacing w:before="60" w:after="60" w:line="320" w:lineRule="auto"/>
        <w:ind w:firstLine="480"/>
        <w:jc w:val="both"/>
      </w:pPr>
      <w:r>
        <w:rPr>
          <w:rFonts w:eastAsia="微軟正黑體"/>
        </w:rPr>
        <w:lastRenderedPageBreak/>
        <w:t xml:space="preserve">以樹模型為基礎的整體學習方法（特別是梯度提升決策樹）在表格型房價問題中已成為強勢的基準方法，因其能捕捉特徵間的非線性交互作用，且對不同尺度的預測變數具有良好穩健性 [4]。其中 </w:t>
      </w:r>
      <w:proofErr w:type="spellStart"/>
      <w:r>
        <w:rPr>
          <w:rFonts w:eastAsia="微軟正黑體"/>
        </w:rPr>
        <w:t>LightGBM</w:t>
      </w:r>
      <w:proofErr w:type="spellEnd"/>
      <w:r>
        <w:rPr>
          <w:rFonts w:eastAsia="微軟正黑體"/>
        </w:rPr>
        <w:t xml:space="preserve"> 在相對較低的訓練成本下，仍能達到具競爭力的準確度 [5]。同時，Ridge 迴歸等正則化線性模型，在可解釋性以及作為殘差修正器吸收樹模型未能捕捉之全域趨勢上，仍具重要價值 [6]。</w:t>
      </w:r>
    </w:p>
    <w:p w14:paraId="317FCEF8" w14:textId="77777777" w:rsidR="009A7AC4" w:rsidRDefault="00000000">
      <w:pPr>
        <w:spacing w:before="60" w:after="60" w:line="320" w:lineRule="auto"/>
        <w:ind w:firstLine="480"/>
        <w:jc w:val="both"/>
      </w:pPr>
      <w:r>
        <w:rPr>
          <w:rFonts w:eastAsia="微軟正黑體"/>
        </w:rPr>
        <w:t>儘管方法層面已有上述進展，單一全域模型在不同行政區之間，往往難以無縫遷移。房地產市場具有空間異質性：以老舊步登公寓為主之社區與以新建大樓為主之社區，對同一組特徵的反應截然不同 [7]。然而，跨區模型表現的比較（特別是預測準確度在異質市場中如何衰退）在臺灣脈絡下仍鮮少被系統性探討。</w:t>
      </w:r>
    </w:p>
    <w:p w14:paraId="0F33CD20" w14:textId="77777777" w:rsidR="009A7AC4" w:rsidRDefault="00000000">
      <w:pPr>
        <w:spacing w:before="60" w:after="60" w:line="320" w:lineRule="auto"/>
        <w:ind w:firstLine="480"/>
        <w:jc w:val="both"/>
      </w:pPr>
      <w:r>
        <w:rPr>
          <w:rFonts w:eastAsia="微軟正黑體"/>
        </w:rPr>
        <w:t xml:space="preserve">本文之主要貢獻有三：第一，建立統一之前處理與特徵工程流程，將原始實價登錄交易資料轉換為每筆 45 個特徵，整合距離、密度與總體經濟指標等構面；第二，於板橋、左營、桃園與竹北四個價格水準與市場結構差異甚大的行政區，訓練並評估 </w:t>
      </w:r>
      <w:proofErr w:type="spellStart"/>
      <w:r>
        <w:rPr>
          <w:rFonts w:eastAsia="微軟正黑體"/>
        </w:rPr>
        <w:t>LightGBM</w:t>
      </w:r>
      <w:proofErr w:type="spellEnd"/>
      <w:r>
        <w:rPr>
          <w:rFonts w:eastAsia="微軟正黑體"/>
        </w:rPr>
        <w:t xml:space="preserve"> 結合 Ridge 殘差修正之混合模型；第三，跨區比較模型表現並辨識殘餘誤差來源，特別針對板橋區解釋力偏低的現象進行剖析，指出其原因為市場本身的高度異質性而非模型設定不當。</w:t>
      </w:r>
    </w:p>
    <w:p w14:paraId="5150ED9C" w14:textId="77777777" w:rsidR="009A7AC4" w:rsidRDefault="00000000">
      <w:pPr>
        <w:spacing w:before="60" w:after="60" w:line="320" w:lineRule="auto"/>
        <w:ind w:firstLine="480"/>
        <w:jc w:val="both"/>
      </w:pPr>
      <w:r>
        <w:rPr>
          <w:rFonts w:eastAsia="微軟正黑體"/>
        </w:rPr>
        <w:t>本文後續結構安排如下。第二節說明資料來源與特徵工程流程；第三節呈現建模架構與跨區結果；第四節討論板橋區解釋力偏低之原因；第五節總結並提出未來研究方向。</w:t>
      </w:r>
    </w:p>
    <w:p w14:paraId="28B86139" w14:textId="77777777" w:rsidR="009A7AC4" w:rsidRDefault="00000000">
      <w:pPr>
        <w:spacing w:before="280" w:after="140"/>
      </w:pPr>
      <w:r>
        <w:rPr>
          <w:rFonts w:eastAsia="微軟正黑體"/>
          <w:b/>
          <w:bCs/>
          <w:color w:val="1F3864"/>
          <w:sz w:val="28"/>
          <w:szCs w:val="28"/>
        </w:rPr>
        <w:t>二、 資料與特徵工程</w:t>
      </w:r>
    </w:p>
    <w:p w14:paraId="4476A298" w14:textId="77777777" w:rsidR="009A7AC4" w:rsidRDefault="00000000">
      <w:pPr>
        <w:spacing w:before="200" w:after="100"/>
      </w:pPr>
      <w:r>
        <w:rPr>
          <w:rFonts w:eastAsia="微軟正黑體"/>
          <w:b/>
          <w:bCs/>
          <w:color w:val="2E74B5"/>
          <w:sz w:val="24"/>
          <w:szCs w:val="24"/>
        </w:rPr>
        <w:t>(A) 資料來源</w:t>
      </w:r>
    </w:p>
    <w:p w14:paraId="164887B9" w14:textId="4F05F82B" w:rsidR="009A7AC4" w:rsidRDefault="00000000">
      <w:pPr>
        <w:spacing w:before="60" w:after="60" w:line="320" w:lineRule="auto"/>
        <w:ind w:firstLine="480"/>
        <w:jc w:val="both"/>
      </w:pPr>
      <w:r>
        <w:rPr>
          <w:rFonts w:eastAsia="微軟正黑體"/>
        </w:rPr>
        <w:t>實價登錄交易資料取自內政部不動產交易實價查詢公開平臺，涵蓋板橋（新北市）、左營（高雄市）、桃園（桃園市）與竹北（新竹縣）四區，期間為 202</w:t>
      </w:r>
      <w:r w:rsidR="00D03738">
        <w:rPr>
          <w:rFonts w:eastAsia="微軟正黑體"/>
        </w:rPr>
        <w:t>4Q3</w:t>
      </w:r>
      <w:r>
        <w:rPr>
          <w:rFonts w:eastAsia="微軟正黑體"/>
        </w:rPr>
        <w:t xml:space="preserve"> 至 202</w:t>
      </w:r>
      <w:r w:rsidR="00D03738">
        <w:rPr>
          <w:rFonts w:eastAsia="微軟正黑體"/>
        </w:rPr>
        <w:t>6Q1</w:t>
      </w:r>
      <w:r>
        <w:rPr>
          <w:rFonts w:eastAsia="微軟正黑體"/>
        </w:rPr>
        <w:t xml:space="preserve"> 。經去重複、剔除預售與純車位交易、並排除面積小於三坪之物件後，最終工作資料集共 9,731 筆，其中板橋 3,167 筆、左營 1,546 筆、桃園 3,640 筆、竹北 1,378 筆。本研究進一步將季度房價指數合併至每筆交易，以控制時間趨勢。</w:t>
      </w:r>
    </w:p>
    <w:p w14:paraId="778B8A43" w14:textId="77777777" w:rsidR="009A7AC4" w:rsidRDefault="00000000">
      <w:pPr>
        <w:spacing w:before="200" w:after="100"/>
      </w:pPr>
      <w:r>
        <w:rPr>
          <w:rFonts w:eastAsia="微軟正黑體"/>
          <w:b/>
          <w:bCs/>
          <w:color w:val="2E74B5"/>
          <w:sz w:val="24"/>
          <w:szCs w:val="24"/>
        </w:rPr>
        <w:t>(B) 特徵工程流程</w:t>
      </w:r>
    </w:p>
    <w:p w14:paraId="3F44262C" w14:textId="77777777" w:rsidR="009A7AC4" w:rsidRDefault="00000000">
      <w:pPr>
        <w:spacing w:before="60" w:after="60" w:line="320" w:lineRule="auto"/>
        <w:ind w:firstLine="480"/>
        <w:jc w:val="both"/>
      </w:pPr>
      <w:r>
        <w:rPr>
          <w:rFonts w:eastAsia="微軟正黑體"/>
        </w:rPr>
        <w:t>圖 1 為從原始交易資料至各區建模資料集之完整流程。每筆交易資料萃取出以下五類特徵：</w:t>
      </w:r>
    </w:p>
    <w:p w14:paraId="34794D50" w14:textId="77777777" w:rsidR="009A7AC4" w:rsidRDefault="00000000">
      <w:pPr>
        <w:spacing w:before="30" w:after="30" w:line="320" w:lineRule="auto"/>
        <w:ind w:left="600" w:hanging="280"/>
        <w:jc w:val="both"/>
      </w:pPr>
      <w:r>
        <w:rPr>
          <w:rFonts w:eastAsia="微軟正黑體"/>
        </w:rPr>
        <w:lastRenderedPageBreak/>
        <w:t>1. 結構性特徵：總面積（坪）、屋齡、房廳衛數、樓層與總樓層之比例等。</w:t>
      </w:r>
    </w:p>
    <w:p w14:paraId="2C97BC0C" w14:textId="77777777" w:rsidR="009A7AC4" w:rsidRDefault="00000000">
      <w:pPr>
        <w:spacing w:before="30" w:after="30" w:line="320" w:lineRule="auto"/>
        <w:ind w:left="600" w:hanging="280"/>
        <w:jc w:val="both"/>
      </w:pPr>
      <w:r>
        <w:rPr>
          <w:rFonts w:eastAsia="微軟正黑體"/>
        </w:rPr>
        <w:t>2. 空間距離特徵：以 Haversine 距離計算交易座標至最近高鐵站、捷運站、學校與商圈之距離。</w:t>
      </w:r>
    </w:p>
    <w:p w14:paraId="5415E4DC" w14:textId="77777777" w:rsidR="009A7AC4" w:rsidRDefault="00000000">
      <w:pPr>
        <w:spacing w:before="30" w:after="30" w:line="320" w:lineRule="auto"/>
        <w:ind w:left="600" w:hanging="280"/>
        <w:jc w:val="both"/>
      </w:pPr>
      <w:r>
        <w:rPr>
          <w:rFonts w:eastAsia="微軟正黑體"/>
        </w:rPr>
        <w:t>3. 興趣點（POI）密度特徵：500 公尺與 1 公里範圍內之超商家數等。</w:t>
      </w:r>
    </w:p>
    <w:p w14:paraId="66F9B738" w14:textId="77777777" w:rsidR="009A7AC4" w:rsidRDefault="00000000">
      <w:pPr>
        <w:spacing w:before="30" w:after="30" w:line="320" w:lineRule="auto"/>
        <w:ind w:left="600" w:hanging="280"/>
        <w:jc w:val="both"/>
      </w:pPr>
      <w:r>
        <w:rPr>
          <w:rFonts w:eastAsia="微軟正黑體"/>
        </w:rPr>
        <w:t>4. 總體經濟特徵：季度房價指數與三個月滾動單價。</w:t>
      </w:r>
    </w:p>
    <w:p w14:paraId="14F6BD62" w14:textId="77777777" w:rsidR="009A7AC4" w:rsidRDefault="00000000">
      <w:pPr>
        <w:spacing w:before="30" w:after="30" w:line="320" w:lineRule="auto"/>
        <w:ind w:left="600" w:hanging="280"/>
        <w:jc w:val="both"/>
      </w:pPr>
      <w:r>
        <w:rPr>
          <w:rFonts w:eastAsia="微軟正黑體"/>
        </w:rPr>
        <w:t>5. 交互作用特徵：如面積乘以高鐵距離對數、屋齡乘以捷運距離、面積乘以樓比等，源於特徵價格理論的設計。</w:t>
      </w:r>
    </w:p>
    <w:p w14:paraId="58CC0A81" w14:textId="77777777" w:rsidR="009A7AC4" w:rsidRDefault="00000000">
      <w:pPr>
        <w:spacing w:before="60" w:after="60" w:line="320" w:lineRule="auto"/>
        <w:ind w:firstLine="480"/>
        <w:jc w:val="both"/>
      </w:pPr>
      <w:r>
        <w:rPr>
          <w:rFonts w:eastAsia="微軟正黑體"/>
        </w:rPr>
        <w:t>特徵工程後，每筆交易共有 45 個預測變數。為確保跨區一致性，本研究於四區建模程式間維持相同的資料字典與特徵綱要。</w:t>
      </w:r>
    </w:p>
    <w:p w14:paraId="26BBCFA8" w14:textId="77777777" w:rsidR="009A7AC4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FB7B615" wp14:editId="35D112E7">
            <wp:extent cx="5143500" cy="2667000"/>
            <wp:effectExtent l="0" t="0" r="0" b="0"/>
            <wp:docPr id="1" name="圖 1" descr="從原始交易資料至各區房價模型與互動式 HTML 報告之端到端建模流程。" title="圖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1CE0" w14:textId="77777777" w:rsidR="009A7AC4" w:rsidRDefault="00000000">
      <w:pPr>
        <w:spacing w:after="160"/>
        <w:jc w:val="center"/>
      </w:pPr>
      <w:r>
        <w:rPr>
          <w:rFonts w:eastAsia="微軟正黑體"/>
          <w:b/>
          <w:bCs/>
          <w:sz w:val="20"/>
          <w:szCs w:val="20"/>
        </w:rPr>
        <w:t xml:space="preserve">圖 1　</w:t>
      </w:r>
      <w:r>
        <w:rPr>
          <w:rFonts w:eastAsia="微軟正黑體"/>
          <w:sz w:val="20"/>
          <w:szCs w:val="20"/>
        </w:rPr>
        <w:t>從原始交易資料至各區房價模型與互動式 HTML 報告之端到端建模流程。</w:t>
      </w:r>
    </w:p>
    <w:p w14:paraId="1AD283BC" w14:textId="77777777" w:rsidR="009A7AC4" w:rsidRDefault="00000000">
      <w:pPr>
        <w:spacing w:before="280" w:after="140"/>
      </w:pPr>
      <w:r>
        <w:rPr>
          <w:rFonts w:eastAsia="微軟正黑體"/>
          <w:b/>
          <w:bCs/>
          <w:color w:val="1F3864"/>
          <w:sz w:val="28"/>
          <w:szCs w:val="28"/>
        </w:rPr>
        <w:t>三、 建模架構與跨區結果</w:t>
      </w:r>
    </w:p>
    <w:p w14:paraId="19148C48" w14:textId="77777777" w:rsidR="009A7AC4" w:rsidRDefault="00000000">
      <w:pPr>
        <w:spacing w:before="200" w:after="100"/>
      </w:pPr>
      <w:r>
        <w:rPr>
          <w:rFonts w:eastAsia="微軟正黑體"/>
          <w:b/>
          <w:bCs/>
          <w:color w:val="2E74B5"/>
          <w:sz w:val="24"/>
          <w:szCs w:val="24"/>
        </w:rPr>
        <w:t xml:space="preserve">(A) </w:t>
      </w:r>
      <w:proofErr w:type="spellStart"/>
      <w:r>
        <w:rPr>
          <w:rFonts w:eastAsia="微軟正黑體"/>
          <w:b/>
          <w:bCs/>
          <w:color w:val="2E74B5"/>
          <w:sz w:val="24"/>
          <w:szCs w:val="24"/>
        </w:rPr>
        <w:t>LightGBM</w:t>
      </w:r>
      <w:proofErr w:type="spellEnd"/>
      <w:r>
        <w:rPr>
          <w:rFonts w:eastAsia="微軟正黑體"/>
          <w:b/>
          <w:bCs/>
          <w:color w:val="2E74B5"/>
          <w:sz w:val="24"/>
          <w:szCs w:val="24"/>
        </w:rPr>
        <w:t xml:space="preserve"> 結合 Ridge 殘差修正之混合模型</w:t>
      </w:r>
    </w:p>
    <w:p w14:paraId="4456567C" w14:textId="77777777" w:rsidR="009A7AC4" w:rsidRDefault="00000000">
      <w:pPr>
        <w:spacing w:before="60" w:after="60" w:line="320" w:lineRule="auto"/>
        <w:ind w:firstLine="480"/>
        <w:jc w:val="both"/>
      </w:pPr>
      <w:r>
        <w:rPr>
          <w:rFonts w:eastAsia="微軟正黑體"/>
        </w:rPr>
        <w:t xml:space="preserve">各區資料以固定亂數種子隨機切分為 70% 訓練集、10% 驗證集與 20% 測試集，以確保可重現性。基礎學習器採 </w:t>
      </w:r>
      <w:proofErr w:type="spellStart"/>
      <w:r>
        <w:rPr>
          <w:rFonts w:eastAsia="微軟正黑體"/>
        </w:rPr>
        <w:t>LightGBM</w:t>
      </w:r>
      <w:proofErr w:type="spellEnd"/>
      <w:r>
        <w:rPr>
          <w:rFonts w:eastAsia="微軟正黑體"/>
        </w:rPr>
        <w:t xml:space="preserve"> 迴歸器，樹數量 1500、學習率 0.03、</w:t>
      </w:r>
      <w:proofErr w:type="spellStart"/>
      <w:r>
        <w:rPr>
          <w:rFonts w:eastAsia="微軟正黑體"/>
        </w:rPr>
        <w:t>num_leaves</w:t>
      </w:r>
      <w:proofErr w:type="spellEnd"/>
      <w:r>
        <w:rPr>
          <w:rFonts w:eastAsia="微軟正黑體"/>
        </w:rPr>
        <w:t xml:space="preserve"> 為 63，並以驗證集進行早停 [5]。令 </w:t>
      </w:r>
      <w:proofErr w:type="spellStart"/>
      <w:r>
        <w:rPr>
          <w:rFonts w:eastAsia="微軟正黑體"/>
        </w:rPr>
        <w:t>f_LGB</w:t>
      </w:r>
      <w:proofErr w:type="spellEnd"/>
      <w:r>
        <w:rPr>
          <w:rFonts w:eastAsia="微軟正黑體"/>
        </w:rPr>
        <w:t xml:space="preserve">(x) 表示 </w:t>
      </w:r>
      <w:proofErr w:type="spellStart"/>
      <w:r>
        <w:rPr>
          <w:rFonts w:eastAsia="微軟正黑體"/>
        </w:rPr>
        <w:t>LightGBM</w:t>
      </w:r>
      <w:proofErr w:type="spellEnd"/>
      <w:r>
        <w:rPr>
          <w:rFonts w:eastAsia="微軟正黑體"/>
        </w:rPr>
        <w:t xml:space="preserve"> 對特徵向量 x 之預測值，再以 Ridge 迴歸（α = 1.0）於訓練資料上對殘差 r = y − </w:t>
      </w:r>
      <w:proofErr w:type="spellStart"/>
      <w:r>
        <w:rPr>
          <w:rFonts w:eastAsia="微軟正黑體"/>
        </w:rPr>
        <w:t>f_LGB</w:t>
      </w:r>
      <w:proofErr w:type="spellEnd"/>
      <w:r>
        <w:rPr>
          <w:rFonts w:eastAsia="微軟正黑體"/>
        </w:rPr>
        <w:t>(x) 進行修正。最終預測式為：</w:t>
      </w:r>
    </w:p>
    <w:p w14:paraId="3F40B2F5" w14:textId="77777777" w:rsidR="009A7AC4" w:rsidRDefault="00000000">
      <w:pPr>
        <w:spacing w:before="80" w:after="80"/>
        <w:jc w:val="center"/>
      </w:pPr>
      <w:r>
        <w:rPr>
          <w:rFonts w:ascii="Times New Roman" w:eastAsia="Times New Roman" w:hAnsi="Times New Roman" w:cs="Times New Roman"/>
          <w:i/>
          <w:iCs/>
        </w:rPr>
        <w:t xml:space="preserve">f(x) =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f_LGB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(x) +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f_</w:t>
      </w:r>
      <w:proofErr w:type="gramStart"/>
      <w:r>
        <w:rPr>
          <w:rFonts w:ascii="Times New Roman" w:eastAsia="Times New Roman" w:hAnsi="Times New Roman" w:cs="Times New Roman"/>
          <w:i/>
          <w:iCs/>
        </w:rPr>
        <w:t>Ridge</w:t>
      </w:r>
      <w:proofErr w:type="spellEnd"/>
      <w:r>
        <w:rPr>
          <w:rFonts w:ascii="Times New Roman" w:eastAsia="Times New Roman" w:hAnsi="Times New Roman" w:cs="Times New Roman"/>
          <w:i/>
          <w:iCs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</w:rPr>
        <w:t>r | x</w:t>
      </w:r>
      <w:proofErr w:type="gramStart"/>
      <w:r>
        <w:rPr>
          <w:rFonts w:ascii="Times New Roman" w:eastAsia="Times New Roman" w:hAnsi="Times New Roman" w:cs="Times New Roman"/>
          <w:i/>
          <w:iCs/>
        </w:rPr>
        <w:t>)　　(</w:t>
      </w:r>
      <w:proofErr w:type="gramEnd"/>
      <w:r>
        <w:rPr>
          <w:rFonts w:ascii="Times New Roman" w:eastAsia="Times New Roman" w:hAnsi="Times New Roman" w:cs="Times New Roman"/>
          <w:i/>
          <w:iCs/>
        </w:rPr>
        <w:t>1)</w:t>
      </w:r>
    </w:p>
    <w:p w14:paraId="301E27AA" w14:textId="77777777" w:rsidR="009A7AC4" w:rsidRDefault="00000000">
      <w:pPr>
        <w:spacing w:before="60" w:after="60" w:line="320" w:lineRule="auto"/>
        <w:ind w:firstLine="480"/>
        <w:jc w:val="both"/>
      </w:pPr>
      <w:r>
        <w:rPr>
          <w:rFonts w:eastAsia="微軟正黑體"/>
        </w:rPr>
        <w:t>此殘差提升（residual-boost）架構保留梯度提升模型對非線性的擬合能力，同時讓線性</w:t>
      </w:r>
      <w:r>
        <w:rPr>
          <w:rFonts w:eastAsia="微軟正黑體"/>
        </w:rPr>
        <w:lastRenderedPageBreak/>
        <w:t>修正器吸收剩餘的全域趨勢。此外，本研究另訓練一個直接以原始特徵作 Ridge 迴歸的線性代理模型，匯出為 JavaScript 樹，提供互動式網頁報告作為可解釋的伴隨模型。</w:t>
      </w:r>
    </w:p>
    <w:p w14:paraId="0FE46340" w14:textId="77777777" w:rsidR="009A7AC4" w:rsidRDefault="00000000">
      <w:pPr>
        <w:spacing w:before="200" w:after="100"/>
      </w:pPr>
      <w:r>
        <w:rPr>
          <w:rFonts w:eastAsia="微軟正黑體"/>
          <w:b/>
          <w:bCs/>
          <w:color w:val="2E74B5"/>
          <w:sz w:val="24"/>
          <w:szCs w:val="24"/>
        </w:rPr>
        <w:t>(B) 評估流程</w:t>
      </w:r>
    </w:p>
    <w:p w14:paraId="47C05475" w14:textId="77777777" w:rsidR="009A7AC4" w:rsidRDefault="00000000">
      <w:pPr>
        <w:spacing w:before="60" w:after="60" w:line="320" w:lineRule="auto"/>
        <w:ind w:firstLine="480"/>
        <w:jc w:val="both"/>
      </w:pPr>
      <w:r>
        <w:rPr>
          <w:rFonts w:eastAsia="微軟正黑體"/>
        </w:rPr>
        <w:t xml:space="preserve">本研究以三項互補指標衡量預測表現：決定係數（R²）、均方根誤差（RMSE）與對稱平均絕對百分比誤差（SMAPE）。於訓練集上執行五折交叉驗證以估計變異，最終指標則於保留測試集上計算。所有實驗均於單機環境，使用 scikit-learn 1.3 與 </w:t>
      </w:r>
      <w:proofErr w:type="spellStart"/>
      <w:r>
        <w:rPr>
          <w:rFonts w:eastAsia="微軟正黑體"/>
        </w:rPr>
        <w:t>LightGBM</w:t>
      </w:r>
      <w:proofErr w:type="spellEnd"/>
      <w:r>
        <w:rPr>
          <w:rFonts w:eastAsia="微軟正黑體"/>
        </w:rPr>
        <w:t xml:space="preserve"> 4.0 執行。</w:t>
      </w:r>
    </w:p>
    <w:p w14:paraId="3874EDE9" w14:textId="77777777" w:rsidR="009A7AC4" w:rsidRDefault="00000000">
      <w:pPr>
        <w:spacing w:before="200" w:after="100"/>
      </w:pPr>
      <w:r>
        <w:rPr>
          <w:rFonts w:eastAsia="微軟正黑體"/>
          <w:b/>
          <w:bCs/>
          <w:color w:val="2E74B5"/>
          <w:sz w:val="24"/>
          <w:szCs w:val="24"/>
        </w:rPr>
        <w:t>(C) 跨區建模結果</w:t>
      </w:r>
    </w:p>
    <w:p w14:paraId="78D7E293" w14:textId="77777777" w:rsidR="009A7AC4" w:rsidRDefault="00000000">
      <w:pPr>
        <w:spacing w:before="60" w:after="60" w:line="320" w:lineRule="auto"/>
        <w:ind w:firstLine="480"/>
        <w:jc w:val="both"/>
      </w:pPr>
      <w:r>
        <w:rPr>
          <w:rFonts w:eastAsia="微軟正黑體"/>
        </w:rPr>
        <w:t>表 1 彙整四區在測試集之預測表現。桃園達到最高準確度（R² = 0.943，SMAPE = 11.31%），其次為竹北、左營、板橋。四區之交叉驗證 R² 與測試 R² 走勢一致，最大訓練／測試差距為 0.062，顯示模型並無明顯過擬合現象。</w:t>
      </w:r>
    </w:p>
    <w:p w14:paraId="0D1C26EE" w14:textId="77777777" w:rsidR="009A7AC4" w:rsidRDefault="00000000">
      <w:pPr>
        <w:spacing w:before="160" w:after="80"/>
        <w:jc w:val="center"/>
      </w:pPr>
      <w:r>
        <w:rPr>
          <w:rFonts w:eastAsia="微軟正黑體"/>
          <w:b/>
          <w:bCs/>
          <w:sz w:val="20"/>
          <w:szCs w:val="20"/>
        </w:rPr>
        <w:t xml:space="preserve">表 1　</w:t>
      </w:r>
      <w:r>
        <w:rPr>
          <w:rFonts w:eastAsia="微軟正黑體"/>
          <w:sz w:val="20"/>
          <w:szCs w:val="20"/>
        </w:rPr>
        <w:t>四區於保留測試集之混合模型表現。紅字標示板橋偏低之指標。</w:t>
      </w:r>
    </w:p>
    <w:tbl>
      <w:tblPr>
        <w:tblW w:w="6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1"/>
        <w:gridCol w:w="945"/>
        <w:gridCol w:w="945"/>
        <w:gridCol w:w="903"/>
        <w:gridCol w:w="896"/>
        <w:gridCol w:w="945"/>
        <w:gridCol w:w="945"/>
      </w:tblGrid>
      <w:tr w:rsidR="009A7AC4" w14:paraId="34E28437" w14:textId="77777777" w:rsidTr="00832360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E1FF4" w14:textId="77777777" w:rsidR="009A7AC4" w:rsidRDefault="00000000">
            <w:pPr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行政區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C7C8E" w14:textId="77777777" w:rsidR="009A7AC4" w:rsidRDefault="00000000">
            <w:pPr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樣本數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30DCE" w14:textId="77777777" w:rsidR="009A7AC4" w:rsidRDefault="00000000">
            <w:pPr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測試 R²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576D9" w14:textId="77777777" w:rsidR="009A7AC4" w:rsidRDefault="00000000">
            <w:pPr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RMSE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D2298" w14:textId="77777777" w:rsidR="009A7AC4" w:rsidRDefault="00000000">
            <w:pPr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SMAPE (%)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51129" w14:textId="77777777" w:rsidR="009A7AC4" w:rsidRDefault="00000000">
            <w:pPr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CV-R²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03A20" w14:textId="77777777" w:rsidR="009A7AC4" w:rsidRDefault="00000000">
            <w:pPr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差距</w:t>
            </w:r>
          </w:p>
        </w:tc>
      </w:tr>
      <w:tr w:rsidR="009A7AC4" w14:paraId="5CFBD374" w14:textId="77777777" w:rsidTr="00832360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6FA5C" w14:textId="77777777" w:rsidR="009A7AC4" w:rsidRDefault="00000000">
            <w:r>
              <w:rPr>
                <w:rFonts w:eastAsia="微軟正黑體"/>
                <w:b/>
                <w:bCs/>
                <w:sz w:val="20"/>
                <w:szCs w:val="20"/>
              </w:rPr>
              <w:t>板橋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F8718" w14:textId="77777777" w:rsidR="009A7AC4" w:rsidRDefault="00000000">
            <w:pPr>
              <w:jc w:val="center"/>
            </w:pPr>
            <w:r>
              <w:rPr>
                <w:rFonts w:eastAsia="微軟正黑體"/>
                <w:sz w:val="20"/>
                <w:szCs w:val="20"/>
              </w:rPr>
              <w:t>3,167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E7E4E" w14:textId="77777777" w:rsidR="009A7AC4" w:rsidRDefault="00000000">
            <w:pPr>
              <w:jc w:val="center"/>
            </w:pPr>
            <w:r>
              <w:rPr>
                <w:rFonts w:eastAsia="微軟正黑體"/>
                <w:color w:val="C00000"/>
                <w:sz w:val="20"/>
                <w:szCs w:val="20"/>
              </w:rPr>
              <w:t>0.834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06754" w14:textId="77777777" w:rsidR="009A7AC4" w:rsidRDefault="00000000">
            <w:pPr>
              <w:jc w:val="center"/>
            </w:pPr>
            <w:r>
              <w:rPr>
                <w:rFonts w:eastAsia="微軟正黑體"/>
                <w:sz w:val="20"/>
                <w:szCs w:val="20"/>
              </w:rPr>
              <w:t>491.3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8D80F" w14:textId="77777777" w:rsidR="009A7AC4" w:rsidRDefault="00000000">
            <w:pPr>
              <w:jc w:val="center"/>
            </w:pPr>
            <w:r>
              <w:rPr>
                <w:rFonts w:eastAsia="微軟正黑體"/>
                <w:color w:val="C00000"/>
                <w:sz w:val="20"/>
                <w:szCs w:val="20"/>
              </w:rPr>
              <w:t>15.42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5896B" w14:textId="77777777" w:rsidR="009A7AC4" w:rsidRDefault="00000000">
            <w:pPr>
              <w:jc w:val="center"/>
            </w:pPr>
            <w:r>
              <w:rPr>
                <w:rFonts w:eastAsia="微軟正黑體"/>
                <w:sz w:val="20"/>
                <w:szCs w:val="20"/>
              </w:rPr>
              <w:t>0.867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5C322" w14:textId="77777777" w:rsidR="009A7AC4" w:rsidRDefault="00000000">
            <w:pPr>
              <w:jc w:val="center"/>
            </w:pPr>
            <w:r>
              <w:rPr>
                <w:rFonts w:eastAsia="微軟正黑體"/>
                <w:sz w:val="20"/>
                <w:szCs w:val="20"/>
              </w:rPr>
              <w:t>0.057</w:t>
            </w:r>
          </w:p>
        </w:tc>
      </w:tr>
      <w:tr w:rsidR="009A7AC4" w14:paraId="44E59E8B" w14:textId="77777777" w:rsidTr="00832360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BFCC1" w14:textId="77777777" w:rsidR="009A7AC4" w:rsidRDefault="00000000">
            <w:r>
              <w:rPr>
                <w:rFonts w:eastAsia="微軟正黑體"/>
                <w:b/>
                <w:bCs/>
                <w:sz w:val="20"/>
                <w:szCs w:val="20"/>
              </w:rPr>
              <w:t>左營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C5C5E" w14:textId="77777777" w:rsidR="009A7AC4" w:rsidRDefault="00000000">
            <w:pPr>
              <w:jc w:val="center"/>
            </w:pPr>
            <w:r>
              <w:rPr>
                <w:rFonts w:eastAsia="微軟正黑體"/>
                <w:sz w:val="20"/>
                <w:szCs w:val="20"/>
              </w:rPr>
              <w:t>1,546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05D56" w14:textId="77777777" w:rsidR="009A7AC4" w:rsidRDefault="00000000">
            <w:pPr>
              <w:jc w:val="center"/>
            </w:pPr>
            <w:r>
              <w:rPr>
                <w:rFonts w:eastAsia="微軟正黑體"/>
                <w:sz w:val="20"/>
                <w:szCs w:val="20"/>
              </w:rPr>
              <w:t>0.876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98841" w14:textId="77777777" w:rsidR="009A7AC4" w:rsidRDefault="00000000">
            <w:pPr>
              <w:jc w:val="center"/>
            </w:pPr>
            <w:r>
              <w:rPr>
                <w:rFonts w:eastAsia="微軟正黑體"/>
                <w:sz w:val="20"/>
                <w:szCs w:val="20"/>
              </w:rPr>
              <w:t>200.4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D018D" w14:textId="77777777" w:rsidR="009A7AC4" w:rsidRDefault="00000000">
            <w:pPr>
              <w:jc w:val="center"/>
            </w:pPr>
            <w:r>
              <w:rPr>
                <w:rFonts w:eastAsia="微軟正黑體"/>
                <w:sz w:val="20"/>
                <w:szCs w:val="20"/>
              </w:rPr>
              <w:t>11.99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15331" w14:textId="77777777" w:rsidR="009A7AC4" w:rsidRDefault="00000000">
            <w:pPr>
              <w:jc w:val="center"/>
            </w:pPr>
            <w:r>
              <w:rPr>
                <w:rFonts w:eastAsia="微軟正黑體"/>
                <w:sz w:val="20"/>
                <w:szCs w:val="20"/>
              </w:rPr>
              <w:t>0.908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157E4" w14:textId="77777777" w:rsidR="009A7AC4" w:rsidRDefault="00000000">
            <w:pPr>
              <w:jc w:val="center"/>
            </w:pPr>
            <w:r>
              <w:rPr>
                <w:rFonts w:eastAsia="微軟正黑體"/>
                <w:sz w:val="20"/>
                <w:szCs w:val="20"/>
              </w:rPr>
              <w:t>0.062</w:t>
            </w:r>
          </w:p>
        </w:tc>
      </w:tr>
      <w:tr w:rsidR="009A7AC4" w14:paraId="551B2792" w14:textId="77777777" w:rsidTr="00832360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016BC" w14:textId="77777777" w:rsidR="009A7AC4" w:rsidRDefault="00000000">
            <w:r>
              <w:rPr>
                <w:rFonts w:eastAsia="微軟正黑體"/>
                <w:b/>
                <w:bCs/>
                <w:sz w:val="20"/>
                <w:szCs w:val="20"/>
              </w:rPr>
              <w:t>桃園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4F4C6" w14:textId="77777777" w:rsidR="009A7AC4" w:rsidRDefault="00000000">
            <w:pPr>
              <w:jc w:val="center"/>
            </w:pPr>
            <w:r>
              <w:rPr>
                <w:rFonts w:eastAsia="微軟正黑體"/>
                <w:sz w:val="20"/>
                <w:szCs w:val="20"/>
              </w:rPr>
              <w:t>3,640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F3EE5" w14:textId="77777777" w:rsidR="009A7AC4" w:rsidRDefault="00000000">
            <w:pPr>
              <w:jc w:val="center"/>
            </w:pPr>
            <w:r>
              <w:rPr>
                <w:rFonts w:eastAsia="微軟正黑體"/>
                <w:sz w:val="20"/>
                <w:szCs w:val="20"/>
              </w:rPr>
              <w:t>0.943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CD7D8" w14:textId="77777777" w:rsidR="009A7AC4" w:rsidRDefault="00000000">
            <w:pPr>
              <w:jc w:val="center"/>
            </w:pPr>
            <w:r>
              <w:rPr>
                <w:rFonts w:eastAsia="微軟正黑體"/>
                <w:sz w:val="20"/>
                <w:szCs w:val="20"/>
              </w:rPr>
              <w:t>213.3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14EA9" w14:textId="77777777" w:rsidR="009A7AC4" w:rsidRDefault="00000000">
            <w:pPr>
              <w:jc w:val="center"/>
            </w:pPr>
            <w:r>
              <w:rPr>
                <w:rFonts w:eastAsia="微軟正黑體"/>
                <w:sz w:val="20"/>
                <w:szCs w:val="20"/>
              </w:rPr>
              <w:t>11.31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39763" w14:textId="77777777" w:rsidR="009A7AC4" w:rsidRDefault="00000000">
            <w:pPr>
              <w:jc w:val="center"/>
            </w:pPr>
            <w:r>
              <w:rPr>
                <w:rFonts w:eastAsia="微軟正黑體"/>
                <w:sz w:val="20"/>
                <w:szCs w:val="20"/>
              </w:rPr>
              <w:t>0.944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3A3AF" w14:textId="77777777" w:rsidR="009A7AC4" w:rsidRDefault="00000000">
            <w:pPr>
              <w:jc w:val="center"/>
            </w:pPr>
            <w:r>
              <w:rPr>
                <w:rFonts w:eastAsia="微軟正黑體"/>
                <w:sz w:val="20"/>
                <w:szCs w:val="20"/>
              </w:rPr>
              <w:t>0.019</w:t>
            </w:r>
          </w:p>
        </w:tc>
      </w:tr>
      <w:tr w:rsidR="009A7AC4" w14:paraId="5D6102FD" w14:textId="77777777" w:rsidTr="00832360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9F252" w14:textId="77777777" w:rsidR="009A7AC4" w:rsidRDefault="00000000">
            <w:r>
              <w:rPr>
                <w:rFonts w:eastAsia="微軟正黑體"/>
                <w:b/>
                <w:bCs/>
                <w:sz w:val="20"/>
                <w:szCs w:val="20"/>
              </w:rPr>
              <w:t>竹北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1E4F2" w14:textId="77777777" w:rsidR="009A7AC4" w:rsidRDefault="00000000">
            <w:pPr>
              <w:jc w:val="center"/>
            </w:pPr>
            <w:r>
              <w:rPr>
                <w:rFonts w:eastAsia="微軟正黑體"/>
                <w:sz w:val="20"/>
                <w:szCs w:val="20"/>
              </w:rPr>
              <w:t>1,378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8D163" w14:textId="77777777" w:rsidR="009A7AC4" w:rsidRDefault="00000000">
            <w:pPr>
              <w:jc w:val="center"/>
            </w:pPr>
            <w:r>
              <w:rPr>
                <w:rFonts w:eastAsia="微軟正黑體"/>
                <w:sz w:val="20"/>
                <w:szCs w:val="20"/>
              </w:rPr>
              <w:t>0.918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582A7" w14:textId="77777777" w:rsidR="009A7AC4" w:rsidRDefault="00000000">
            <w:pPr>
              <w:jc w:val="center"/>
            </w:pPr>
            <w:r>
              <w:rPr>
                <w:rFonts w:eastAsia="微軟正黑體"/>
                <w:sz w:val="20"/>
                <w:szCs w:val="20"/>
              </w:rPr>
              <w:t>357.8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229A5" w14:textId="77777777" w:rsidR="009A7AC4" w:rsidRDefault="00000000">
            <w:pPr>
              <w:jc w:val="center"/>
            </w:pPr>
            <w:r>
              <w:rPr>
                <w:rFonts w:eastAsia="微軟正黑體"/>
                <w:sz w:val="20"/>
                <w:szCs w:val="20"/>
              </w:rPr>
              <w:t>13.75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464DA" w14:textId="77777777" w:rsidR="009A7AC4" w:rsidRDefault="00000000">
            <w:pPr>
              <w:jc w:val="center"/>
            </w:pPr>
            <w:r>
              <w:rPr>
                <w:rFonts w:eastAsia="微軟正黑體"/>
                <w:sz w:val="20"/>
                <w:szCs w:val="20"/>
              </w:rPr>
              <w:t>0.898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DC4BB" w14:textId="77777777" w:rsidR="009A7AC4" w:rsidRDefault="00000000">
            <w:pPr>
              <w:jc w:val="center"/>
            </w:pPr>
            <w:r>
              <w:rPr>
                <w:rFonts w:eastAsia="微軟正黑體"/>
                <w:sz w:val="20"/>
                <w:szCs w:val="20"/>
              </w:rPr>
              <w:t>0.027</w:t>
            </w:r>
          </w:p>
        </w:tc>
      </w:tr>
    </w:tbl>
    <w:p w14:paraId="6DBC8191" w14:textId="77777777" w:rsidR="009A7AC4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0CF0880" wp14:editId="1185F583">
            <wp:extent cx="4953000" cy="2619375"/>
            <wp:effectExtent l="0" t="0" r="0" b="0"/>
            <wp:docPr id="1753869341" name="圖 2" descr="四區於保留測試集之 R² 與 SMAPE 比較。" title="圖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99D3" w14:textId="77777777" w:rsidR="009A7AC4" w:rsidRDefault="00000000">
      <w:pPr>
        <w:spacing w:after="160"/>
        <w:jc w:val="center"/>
      </w:pPr>
      <w:r>
        <w:rPr>
          <w:rFonts w:eastAsia="微軟正黑體"/>
          <w:b/>
          <w:bCs/>
          <w:sz w:val="20"/>
          <w:szCs w:val="20"/>
        </w:rPr>
        <w:t xml:space="preserve">圖 2　</w:t>
      </w:r>
      <w:r>
        <w:rPr>
          <w:rFonts w:eastAsia="微軟正黑體"/>
          <w:sz w:val="20"/>
          <w:szCs w:val="20"/>
        </w:rPr>
        <w:t>四區於保留測試集之 R² 與 SMAPE 比較。</w:t>
      </w:r>
    </w:p>
    <w:p w14:paraId="31F12120" w14:textId="77777777" w:rsidR="009A7AC4" w:rsidRDefault="00000000">
      <w:pPr>
        <w:spacing w:before="60" w:after="60" w:line="320" w:lineRule="auto"/>
        <w:ind w:firstLine="480"/>
        <w:jc w:val="both"/>
      </w:pPr>
      <w:r>
        <w:rPr>
          <w:rFonts w:eastAsia="微軟正黑體"/>
        </w:rPr>
        <w:lastRenderedPageBreak/>
        <w:t>圖 3 呈現各區測試集之預測值對實際值散布圖。四區資料點皆密集分布於對角線附近，顯示混合模型在價格分布的高端亦能捕捉主要趨勢。其中板橋區於低總價區段之離散程度明顯較大，此一現象促成第四節之進一步分析。</w:t>
      </w:r>
    </w:p>
    <w:p w14:paraId="0A908AA4" w14:textId="77777777" w:rsidR="009A7AC4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B28625A" wp14:editId="375206A4">
            <wp:extent cx="4953000" cy="4543425"/>
            <wp:effectExtent l="0" t="0" r="0" b="0"/>
            <wp:docPr id="1182760322" name="圖 3" descr="四區測試集之預測值對實際值散布圖。紅色虛線為對角參考線。" title="圖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6A07" w14:textId="77777777" w:rsidR="009A7AC4" w:rsidRDefault="00000000">
      <w:pPr>
        <w:spacing w:after="160"/>
        <w:jc w:val="center"/>
      </w:pPr>
      <w:r>
        <w:rPr>
          <w:rFonts w:eastAsia="微軟正黑體"/>
          <w:b/>
          <w:bCs/>
          <w:sz w:val="20"/>
          <w:szCs w:val="20"/>
        </w:rPr>
        <w:t xml:space="preserve">圖 3　</w:t>
      </w:r>
      <w:r>
        <w:rPr>
          <w:rFonts w:eastAsia="微軟正黑體"/>
          <w:sz w:val="20"/>
          <w:szCs w:val="20"/>
        </w:rPr>
        <w:t>四區測試集之預測值對實際值散布圖。紅色虛線為對角參考線。</w:t>
      </w:r>
    </w:p>
    <w:p w14:paraId="77A76E13" w14:textId="77777777" w:rsidR="009A7AC4" w:rsidRDefault="00000000">
      <w:pPr>
        <w:spacing w:before="200" w:after="100"/>
      </w:pPr>
      <w:r>
        <w:rPr>
          <w:rFonts w:eastAsia="微軟正黑體"/>
          <w:b/>
          <w:bCs/>
          <w:color w:val="2E74B5"/>
          <w:sz w:val="24"/>
          <w:szCs w:val="24"/>
        </w:rPr>
        <w:t>(D) 特徵重要性</w:t>
      </w:r>
    </w:p>
    <w:p w14:paraId="6D36BF71" w14:textId="77777777" w:rsidR="009A7AC4" w:rsidRDefault="00000000">
      <w:pPr>
        <w:spacing w:before="60" w:after="60" w:line="320" w:lineRule="auto"/>
        <w:ind w:firstLine="480"/>
        <w:jc w:val="both"/>
      </w:pPr>
      <w:r>
        <w:rPr>
          <w:rFonts w:eastAsia="微軟正黑體"/>
        </w:rPr>
        <w:t xml:space="preserve">四區之主要預測因子皆為對數面積、屋齡與距離型特徵（如至捷運／高鐵之距離），以及面積乘以高鐵對數距離等交互項。圖 4 為各區 </w:t>
      </w:r>
      <w:proofErr w:type="spellStart"/>
      <w:r>
        <w:rPr>
          <w:rFonts w:eastAsia="微軟正黑體"/>
        </w:rPr>
        <w:t>LightGBM</w:t>
      </w:r>
      <w:proofErr w:type="spellEnd"/>
      <w:r>
        <w:rPr>
          <w:rFonts w:eastAsia="微軟正黑體"/>
        </w:rPr>
        <w:t xml:space="preserve"> 階段之前段重要特徵的標準化熱圖。跨區之質性一致性顯示，模型並未依賴特定區域之偶然性特徵。</w:t>
      </w:r>
    </w:p>
    <w:p w14:paraId="685B4BA8" w14:textId="77777777" w:rsidR="009A7AC4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0D5834A" wp14:editId="7A1A932F">
            <wp:extent cx="4572000" cy="4000500"/>
            <wp:effectExtent l="0" t="0" r="0" b="0"/>
            <wp:docPr id="1730669527" name="圖 4" descr="各區 LightGBM 階段前段特徵之標準化重要性熱圖（以區內最大值標準化）。" title="圖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64BE" w14:textId="77777777" w:rsidR="009A7AC4" w:rsidRDefault="00000000">
      <w:pPr>
        <w:spacing w:after="160"/>
        <w:jc w:val="center"/>
      </w:pPr>
      <w:r>
        <w:rPr>
          <w:rFonts w:eastAsia="微軟正黑體"/>
          <w:b/>
          <w:bCs/>
          <w:sz w:val="20"/>
          <w:szCs w:val="20"/>
        </w:rPr>
        <w:t xml:space="preserve">圖 4　</w:t>
      </w:r>
      <w:r>
        <w:rPr>
          <w:rFonts w:eastAsia="微軟正黑體"/>
          <w:sz w:val="20"/>
          <w:szCs w:val="20"/>
        </w:rPr>
        <w:t xml:space="preserve">各區 </w:t>
      </w:r>
      <w:proofErr w:type="spellStart"/>
      <w:r>
        <w:rPr>
          <w:rFonts w:eastAsia="微軟正黑體"/>
          <w:sz w:val="20"/>
          <w:szCs w:val="20"/>
        </w:rPr>
        <w:t>LightGBM</w:t>
      </w:r>
      <w:proofErr w:type="spellEnd"/>
      <w:r>
        <w:rPr>
          <w:rFonts w:eastAsia="微軟正黑體"/>
          <w:sz w:val="20"/>
          <w:szCs w:val="20"/>
        </w:rPr>
        <w:t xml:space="preserve"> 階段前段特徵之標準化重要性熱圖（以區內最大值標準化）。</w:t>
      </w:r>
    </w:p>
    <w:p w14:paraId="6C8F9866" w14:textId="77777777" w:rsidR="009A7AC4" w:rsidRDefault="00000000">
      <w:pPr>
        <w:spacing w:before="280" w:after="140"/>
      </w:pPr>
      <w:r>
        <w:rPr>
          <w:rFonts w:eastAsia="微軟正黑體"/>
          <w:b/>
          <w:bCs/>
          <w:color w:val="1F3864"/>
          <w:sz w:val="28"/>
          <w:szCs w:val="28"/>
        </w:rPr>
        <w:t>四、 板橋區解釋力偏低之原因探討</w:t>
      </w:r>
    </w:p>
    <w:p w14:paraId="5BD676EA" w14:textId="77777777" w:rsidR="009A7AC4" w:rsidRDefault="00000000">
      <w:pPr>
        <w:spacing w:before="60" w:after="60" w:line="320" w:lineRule="auto"/>
        <w:ind w:firstLine="480"/>
        <w:jc w:val="both"/>
      </w:pPr>
      <w:r>
        <w:rPr>
          <w:rFonts w:eastAsia="微軟正黑體"/>
        </w:rPr>
        <w:t>板橋之測試集 R² 為 0.834，雖在原始房價資料的特徵價格模型中尚屬合理水準，但較其他三區低 4 至 11 個百分點。其交叉驗證／測試集差距僅 0.057，顯示偏低並非源於過擬合。本研究將其歸因於板橋市場結構的三項本質特性。</w:t>
      </w:r>
    </w:p>
    <w:p w14:paraId="4D9CE492" w14:textId="77777777" w:rsidR="009A7AC4" w:rsidRDefault="00000000">
      <w:pPr>
        <w:spacing w:before="120" w:after="60"/>
        <w:ind w:left="240"/>
      </w:pPr>
      <w:r>
        <w:rPr>
          <w:rFonts w:eastAsia="微軟正黑體"/>
          <w:b/>
          <w:bCs/>
        </w:rPr>
        <w:t>1. 價格區間較廣、市場異質性偏高</w:t>
      </w:r>
    </w:p>
    <w:p w14:paraId="16F98EA8" w14:textId="77777777" w:rsidR="009A7AC4" w:rsidRDefault="00000000">
      <w:pPr>
        <w:spacing w:before="60" w:after="60" w:line="320" w:lineRule="auto"/>
        <w:ind w:firstLine="480"/>
        <w:jc w:val="both"/>
      </w:pPr>
      <w:r>
        <w:rPr>
          <w:rFonts w:eastAsia="微軟正黑體"/>
        </w:rPr>
        <w:t>板橋之單價範圍為每坪 6 至 125 萬元，總價範圍為 200 至 12,269 萬元，價格跨度約為左營或桃園的兩倍。單價之第 5 與第 95 百分位差距，板橋為 60，左營、桃園、竹北分別為 34、33 與 46。此一現象反映板橋作為新北市核心都會區，同時包含江翠重劃區之高價新成屋與府中、後埔一帶屋齡逾 30 年之老舊公寓，市場結構高度異質。</w:t>
      </w:r>
    </w:p>
    <w:p w14:paraId="7EE27FCB" w14:textId="77777777" w:rsidR="009A7AC4" w:rsidRDefault="00000000">
      <w:pPr>
        <w:spacing w:before="120" w:after="60"/>
        <w:ind w:left="240"/>
      </w:pPr>
      <w:r>
        <w:rPr>
          <w:rFonts w:eastAsia="微軟正黑體"/>
          <w:b/>
          <w:bCs/>
        </w:rPr>
        <w:t>2. 屋齡分布呈現雙峰</w:t>
      </w:r>
    </w:p>
    <w:p w14:paraId="524D9ADC" w14:textId="77777777" w:rsidR="009A7AC4" w:rsidRDefault="00000000">
      <w:pPr>
        <w:spacing w:before="60" w:after="60" w:line="320" w:lineRule="auto"/>
        <w:ind w:firstLine="480"/>
        <w:jc w:val="both"/>
      </w:pPr>
      <w:r>
        <w:rPr>
          <w:rFonts w:eastAsia="微軟正黑體"/>
        </w:rPr>
        <w:t>圖 5 為四區屋齡之直方圖。板橋呈現明顯雙峰：屋齡 5 年以下之新成屋佔 17.5%、屋齡 40 年以上之老屋佔 22.6%，兩端合計超過 40%。相較之下，左營、桃園、竹北 40 年以上之物件最多僅佔 8.0%（桃園）、其餘均在 2% 以下。板橋新／舊兩端屋齡群體之單價中位數差</w:t>
      </w:r>
      <w:r>
        <w:rPr>
          <w:rFonts w:eastAsia="微軟正黑體"/>
        </w:rPr>
        <w:lastRenderedPageBreak/>
        <w:t>距達 1.5 倍以上，使單一迴歸曲面難以同時擬合兩個次市場。</w:t>
      </w:r>
    </w:p>
    <w:p w14:paraId="063ADD8A" w14:textId="77777777" w:rsidR="009A7AC4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688D6217" wp14:editId="12F8FB7A">
            <wp:extent cx="5143500" cy="1905000"/>
            <wp:effectExtent l="0" t="0" r="0" b="0"/>
            <wp:docPr id="1771081907" name="圖 5" descr="四區之屋齡分布。板橋呈現其他三區未見之雙峰特性。" title="圖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B507" w14:textId="77777777" w:rsidR="009A7AC4" w:rsidRDefault="00000000">
      <w:pPr>
        <w:spacing w:after="160"/>
        <w:jc w:val="center"/>
      </w:pPr>
      <w:r>
        <w:rPr>
          <w:rFonts w:eastAsia="微軟正黑體"/>
          <w:b/>
          <w:bCs/>
          <w:sz w:val="20"/>
          <w:szCs w:val="20"/>
        </w:rPr>
        <w:t xml:space="preserve">圖 5　</w:t>
      </w:r>
      <w:r>
        <w:rPr>
          <w:rFonts w:eastAsia="微軟正黑體"/>
          <w:sz w:val="20"/>
          <w:szCs w:val="20"/>
        </w:rPr>
        <w:t>四區之屋齡分布。板橋呈現其他三區未見之雙峰特性。</w:t>
      </w:r>
    </w:p>
    <w:p w14:paraId="289A825F" w14:textId="77777777" w:rsidR="009A7AC4" w:rsidRDefault="00000000">
      <w:pPr>
        <w:spacing w:before="120" w:after="60"/>
        <w:ind w:left="240"/>
      </w:pPr>
      <w:r>
        <w:rPr>
          <w:rFonts w:eastAsia="微軟正黑體"/>
          <w:b/>
          <w:bCs/>
        </w:rPr>
        <w:t>3. 誤差集中於低總價尾端</w:t>
      </w:r>
    </w:p>
    <w:p w14:paraId="4A882C29" w14:textId="77777777" w:rsidR="009A7AC4" w:rsidRDefault="00000000">
      <w:pPr>
        <w:spacing w:before="60" w:after="60" w:line="320" w:lineRule="auto"/>
        <w:ind w:firstLine="480"/>
        <w:jc w:val="both"/>
      </w:pPr>
      <w:r>
        <w:rPr>
          <w:rFonts w:eastAsia="微軟正黑體"/>
        </w:rPr>
        <w:t>從測試集殘差來看，板橋之誤差於各價格區段並非均勻分布。將測試樣本依總價分箱（圖 6）後可見：總價 800 萬以下區段之絕對百分比誤差（APE）中位數高達 43.0%，第 75 百分位逾 100%；而 1,500 萬至 4,000 萬區段之 APE 中位數僅 6.8% 至 7.1%。誤差最大的 15 筆樣本，皆為總價 1,400 萬以下之小坪數或屋齡偏高物件，其成交價格受個別議價、貸款與屋況等因素影響甚鉅，已超出可量化特徵所能解釋的範圍。</w:t>
      </w:r>
    </w:p>
    <w:p w14:paraId="6512FCD4" w14:textId="77777777" w:rsidR="009A7AC4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4D4391B" wp14:editId="0C9FAD15">
            <wp:extent cx="4953000" cy="2667000"/>
            <wp:effectExtent l="0" t="0" r="0" b="0"/>
            <wp:docPr id="483739141" name="圖 6" descr="板橋區依總價分箱之絕對百分比誤差分布。誤差集中於低總價尾端。" title="圖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4C59" w14:textId="77777777" w:rsidR="009A7AC4" w:rsidRDefault="00000000">
      <w:pPr>
        <w:spacing w:after="160"/>
        <w:jc w:val="center"/>
      </w:pPr>
      <w:r>
        <w:rPr>
          <w:rFonts w:eastAsia="微軟正黑體"/>
          <w:b/>
          <w:bCs/>
          <w:sz w:val="20"/>
          <w:szCs w:val="20"/>
        </w:rPr>
        <w:t xml:space="preserve">圖 6　</w:t>
      </w:r>
      <w:r>
        <w:rPr>
          <w:rFonts w:eastAsia="微軟正黑體"/>
          <w:sz w:val="20"/>
          <w:szCs w:val="20"/>
        </w:rPr>
        <w:t>板橋區依總價分箱之絕對百分比誤差分布。誤差集中於低總價尾端。</w:t>
      </w:r>
    </w:p>
    <w:p w14:paraId="02CFCB6D" w14:textId="77777777" w:rsidR="009A7AC4" w:rsidRDefault="00000000">
      <w:pPr>
        <w:spacing w:before="120" w:after="60"/>
        <w:ind w:left="240"/>
      </w:pPr>
      <w:r>
        <w:rPr>
          <w:rFonts w:eastAsia="微軟正黑體"/>
          <w:b/>
          <w:bCs/>
        </w:rPr>
        <w:t>4. 建模層面之啟示</w:t>
      </w:r>
    </w:p>
    <w:p w14:paraId="78BBC6F2" w14:textId="77777777" w:rsidR="009A7AC4" w:rsidRDefault="00000000">
      <w:pPr>
        <w:spacing w:before="60" w:after="60" w:line="320" w:lineRule="auto"/>
        <w:ind w:firstLine="480"/>
        <w:jc w:val="both"/>
      </w:pPr>
      <w:r>
        <w:rPr>
          <w:rFonts w:eastAsia="微軟正黑體"/>
        </w:rPr>
        <w:t>以上三點觀察顯示，板橋模型之解釋力偏低乃出自市場本身的結構特性，而非演算法之失準。本研究為未來工作提出三項具體改進方向：（1）針對總價 800 萬以下之低總價區段另</w:t>
      </w:r>
      <w:r>
        <w:rPr>
          <w:rFonts w:eastAsia="微軟正黑體"/>
        </w:rPr>
        <w:lastRenderedPageBreak/>
        <w:t>行訓練專屬子模型；（2）加入更細緻之微觀空間特徵，例如街廓寬度、巷弄條件與重劃區虛擬變數；（3）導入分位數迴歸（quantile regression）頭，以明確建模條件價格分布的離散度。</w:t>
      </w:r>
    </w:p>
    <w:p w14:paraId="56CC3484" w14:textId="77777777" w:rsidR="009A7AC4" w:rsidRDefault="00000000">
      <w:pPr>
        <w:spacing w:before="280" w:after="140"/>
      </w:pPr>
      <w:r>
        <w:rPr>
          <w:rFonts w:eastAsia="微軟正黑體"/>
          <w:b/>
          <w:bCs/>
          <w:color w:val="1F3864"/>
          <w:sz w:val="28"/>
          <w:szCs w:val="28"/>
        </w:rPr>
        <w:t>五、 結論</w:t>
      </w:r>
    </w:p>
    <w:p w14:paraId="73078D6F" w14:textId="77777777" w:rsidR="009A7AC4" w:rsidRDefault="00000000">
      <w:pPr>
        <w:spacing w:before="60" w:after="60" w:line="320" w:lineRule="auto"/>
        <w:ind w:firstLine="480"/>
        <w:jc w:val="both"/>
      </w:pPr>
      <w:r>
        <w:rPr>
          <w:rFonts w:eastAsia="微軟正黑體"/>
        </w:rPr>
        <w:t xml:space="preserve">本研究建立統一之特徵工程與混合模型框架，針對臺灣四個行政區之房價進行預測。以 </w:t>
      </w:r>
      <w:proofErr w:type="spellStart"/>
      <w:r>
        <w:rPr>
          <w:rFonts w:eastAsia="微軟正黑體"/>
        </w:rPr>
        <w:t>LightGBM</w:t>
      </w:r>
      <w:proofErr w:type="spellEnd"/>
      <w:r>
        <w:rPr>
          <w:rFonts w:eastAsia="微軟正黑體"/>
        </w:rPr>
        <w:t xml:space="preserve"> 為基礎、結合 Ridge 殘差修正之混合模型，於保留測試集上達成 R² 介於 0.834 至 0.943、SMAPE 介於 11.31% 至 15.42% 之表現，交叉驗證結果與測試集走勢一致。本研究並將模型匯出至互動式網頁報告，讓使用者無須重新訓練即可進行區域查詢與預測。</w:t>
      </w:r>
    </w:p>
    <w:p w14:paraId="03C9C13B" w14:textId="77777777" w:rsidR="009A7AC4" w:rsidRDefault="00000000">
      <w:pPr>
        <w:spacing w:before="60" w:after="60" w:line="320" w:lineRule="auto"/>
        <w:ind w:firstLine="480"/>
        <w:jc w:val="both"/>
      </w:pPr>
      <w:r>
        <w:rPr>
          <w:rFonts w:eastAsia="微軟正黑體"/>
        </w:rPr>
        <w:t>跨區比較顯示，殘餘解釋力受市場異質性主導：價格區間相對緊湊、屋齡呈單峰分布之桃園達到最高準確度；而板橋因同時混合新建大樓與老舊公寓，其 R² 最低、低總價尾端誤差亦最重。未來工作將延伸本框架，加入低總價尾端之分段子模型、更細緻之微觀空間特徵，以及分位數迴歸頭，以更完整地刻畫條件價格分布。</w:t>
      </w:r>
    </w:p>
    <w:p w14:paraId="6E06A91B" w14:textId="77777777" w:rsidR="009A7AC4" w:rsidRDefault="00000000">
      <w:pPr>
        <w:spacing w:before="280" w:after="140"/>
      </w:pPr>
      <w:r>
        <w:rPr>
          <w:rFonts w:eastAsia="微軟正黑體"/>
          <w:b/>
          <w:bCs/>
          <w:color w:val="1F3864"/>
          <w:sz w:val="28"/>
          <w:szCs w:val="28"/>
        </w:rPr>
        <w:t>致謝</w:t>
      </w:r>
    </w:p>
    <w:p w14:paraId="10926540" w14:textId="77777777" w:rsidR="009A7AC4" w:rsidRDefault="00000000">
      <w:pPr>
        <w:spacing w:before="60" w:after="60" w:line="320" w:lineRule="auto"/>
        <w:jc w:val="both"/>
      </w:pPr>
      <w:r>
        <w:rPr>
          <w:rFonts w:eastAsia="微軟正黑體"/>
        </w:rPr>
        <w:t xml:space="preserve">本研究感謝中華民國內政部提供不動產交易實價登錄之公開資料，並感謝 </w:t>
      </w:r>
      <w:proofErr w:type="spellStart"/>
      <w:r>
        <w:rPr>
          <w:rFonts w:eastAsia="微軟正黑體"/>
        </w:rPr>
        <w:t>LightGBM</w:t>
      </w:r>
      <w:proofErr w:type="spellEnd"/>
      <w:r>
        <w:rPr>
          <w:rFonts w:eastAsia="微軟正黑體"/>
        </w:rPr>
        <w:t>、scikit-learn 與 pandas 等開源軟體之維護團隊，提供本研究所使用的軟體基礎建設。</w:t>
      </w:r>
    </w:p>
    <w:p w14:paraId="5B430637" w14:textId="77777777" w:rsidR="009A7AC4" w:rsidRDefault="00000000">
      <w:pPr>
        <w:spacing w:before="280" w:after="140"/>
      </w:pPr>
      <w:r>
        <w:rPr>
          <w:rFonts w:eastAsia="微軟正黑體"/>
          <w:b/>
          <w:bCs/>
          <w:color w:val="1F3864"/>
          <w:sz w:val="28"/>
          <w:szCs w:val="28"/>
        </w:rPr>
        <w:t>參考文獻</w:t>
      </w:r>
    </w:p>
    <w:p w14:paraId="35524E23" w14:textId="77777777" w:rsidR="009A7AC4" w:rsidRDefault="00000000">
      <w:pPr>
        <w:spacing w:before="60" w:after="60" w:line="280" w:lineRule="auto"/>
        <w:ind w:left="480" w:hanging="480"/>
        <w:jc w:val="both"/>
      </w:pPr>
      <w:r>
        <w:rPr>
          <w:rFonts w:eastAsia="微軟正黑體"/>
          <w:sz w:val="20"/>
          <w:szCs w:val="20"/>
        </w:rPr>
        <w:t xml:space="preserve">[1]　</w:t>
      </w:r>
      <w:r>
        <w:rPr>
          <w:rFonts w:ascii="Times New Roman" w:eastAsia="Times New Roman" w:hAnsi="Times New Roman" w:cs="Times New Roman"/>
          <w:sz w:val="20"/>
          <w:szCs w:val="20"/>
        </w:rPr>
        <w:t>S. Rosen, "Hedonic prices and implicit markets: Product differentiation in pure competition," J. Polit. Econ., vol. 82, no. 1, pp. 34–55, Jan. 1974.</w:t>
      </w:r>
    </w:p>
    <w:p w14:paraId="318C6C9B" w14:textId="77777777" w:rsidR="009A7AC4" w:rsidRDefault="00000000">
      <w:pPr>
        <w:spacing w:before="60" w:after="60" w:line="280" w:lineRule="auto"/>
        <w:ind w:left="480" w:hanging="480"/>
        <w:jc w:val="both"/>
      </w:pPr>
      <w:r>
        <w:rPr>
          <w:rFonts w:eastAsia="微軟正黑體"/>
          <w:sz w:val="20"/>
          <w:szCs w:val="20"/>
        </w:rPr>
        <w:t xml:space="preserve">[2]　</w:t>
      </w:r>
      <w:r>
        <w:rPr>
          <w:rFonts w:ascii="Times New Roman" w:eastAsia="Times New Roman" w:hAnsi="Times New Roman" w:cs="Times New Roman"/>
          <w:sz w:val="20"/>
          <w:szCs w:val="20"/>
        </w:rPr>
        <w:t>J. C. Ho, B. Tang, and J. Wong, "Predicting property prices with machine learning algorithms," J. Property Res., vol. 38, no. 1, pp. 48–70, Jan. 2021.</w:t>
      </w:r>
    </w:p>
    <w:p w14:paraId="732F529E" w14:textId="77777777" w:rsidR="009A7AC4" w:rsidRDefault="00000000">
      <w:pPr>
        <w:spacing w:before="60" w:after="60" w:line="280" w:lineRule="auto"/>
        <w:ind w:left="480" w:hanging="480"/>
        <w:jc w:val="both"/>
      </w:pPr>
      <w:r>
        <w:rPr>
          <w:rFonts w:eastAsia="微軟正黑體"/>
          <w:sz w:val="20"/>
          <w:szCs w:val="20"/>
        </w:rPr>
        <w:t xml:space="preserve">[3]　</w:t>
      </w:r>
      <w:r>
        <w:rPr>
          <w:rFonts w:ascii="Times New Roman" w:eastAsia="Times New Roman" w:hAnsi="Times New Roman" w:cs="Times New Roman"/>
          <w:sz w:val="20"/>
          <w:szCs w:val="20"/>
        </w:rPr>
        <w:t>B. Park and J. K. Bae, "Using machine learning algorithms for housing price prediction: The case of Fairfax County, Virginia housing data," Expert Syst. Appl., vol. 42, no. 6, pp. 2928–2934, Apr. 2015.</w:t>
      </w:r>
    </w:p>
    <w:p w14:paraId="79816F35" w14:textId="77777777" w:rsidR="009A7AC4" w:rsidRDefault="00000000">
      <w:pPr>
        <w:spacing w:before="60" w:after="60" w:line="280" w:lineRule="auto"/>
        <w:ind w:left="480" w:hanging="480"/>
        <w:jc w:val="both"/>
      </w:pPr>
      <w:r>
        <w:rPr>
          <w:rFonts w:eastAsia="微軟正黑體"/>
          <w:sz w:val="20"/>
          <w:szCs w:val="20"/>
        </w:rPr>
        <w:t xml:space="preserve">[4]　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T. Chen and C.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Guestrin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"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XGBoost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: A scalable tree boosting system," in Proc. 22nd ACM SIGKDD Int. Conf.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Knowl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 Discovery Data Mining, San Francisco, CA, USA, Aug. 2016, pp. 785–794.</w:t>
      </w:r>
    </w:p>
    <w:p w14:paraId="75942F2C" w14:textId="77777777" w:rsidR="009A7AC4" w:rsidRDefault="00000000">
      <w:pPr>
        <w:spacing w:before="60" w:after="60" w:line="280" w:lineRule="auto"/>
        <w:ind w:left="480" w:hanging="480"/>
        <w:jc w:val="both"/>
      </w:pPr>
      <w:r>
        <w:rPr>
          <w:rFonts w:eastAsia="微軟正黑體"/>
          <w:sz w:val="20"/>
          <w:szCs w:val="20"/>
        </w:rPr>
        <w:t xml:space="preserve">[5]　</w:t>
      </w:r>
      <w:r>
        <w:rPr>
          <w:rFonts w:ascii="Times New Roman" w:eastAsia="Times New Roman" w:hAnsi="Times New Roman" w:cs="Times New Roman"/>
          <w:sz w:val="20"/>
          <w:szCs w:val="20"/>
        </w:rPr>
        <w:t>G. Ke, Q. Meng, T. Finley, T. Wang, W. Chen, W. Ma, Q. Ye, and T.-Y. Liu, "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LightGBM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: A highly efficient gradient boosting decision tree," in Proc. Adv. Neural Inf. Process. Syst., Long Beach, CA, USA, Dec. 2017, pp. 3146–3154.</w:t>
      </w:r>
    </w:p>
    <w:p w14:paraId="50E2B2FB" w14:textId="77777777" w:rsidR="009A7AC4" w:rsidRDefault="00000000">
      <w:pPr>
        <w:spacing w:before="60" w:after="60" w:line="280" w:lineRule="auto"/>
        <w:ind w:left="480" w:hanging="480"/>
        <w:jc w:val="both"/>
      </w:pPr>
      <w:r>
        <w:rPr>
          <w:rFonts w:eastAsia="微軟正黑體"/>
          <w:sz w:val="20"/>
          <w:szCs w:val="20"/>
        </w:rPr>
        <w:t xml:space="preserve">[6]　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A. E. Hoerl and R. W. Kennard, "Ridge regression: Biased estimation for nonorthogonal problems,"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Technometrics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vol. 12, no. 1, pp. 55–67, Feb. 1970.</w:t>
      </w:r>
    </w:p>
    <w:p w14:paraId="23F914BD" w14:textId="77777777" w:rsidR="009A7AC4" w:rsidRDefault="00000000">
      <w:pPr>
        <w:spacing w:before="60" w:after="60" w:line="280" w:lineRule="auto"/>
        <w:ind w:left="480" w:hanging="480"/>
        <w:jc w:val="both"/>
      </w:pPr>
      <w:r>
        <w:rPr>
          <w:rFonts w:eastAsia="微軟正黑體"/>
          <w:sz w:val="20"/>
          <w:szCs w:val="20"/>
        </w:rPr>
        <w:lastRenderedPageBreak/>
        <w:t xml:space="preserve">[7]　</w:t>
      </w:r>
      <w:r>
        <w:rPr>
          <w:rFonts w:ascii="Times New Roman" w:eastAsia="Times New Roman" w:hAnsi="Times New Roman" w:cs="Times New Roman"/>
          <w:sz w:val="20"/>
          <w:szCs w:val="20"/>
        </w:rPr>
        <w:t>S. Basu and T. G. Thibodeau, "Analysis of spatial autocorrelation in house prices," J. Real Estate Finance Econ., vol. 17, no. 1, pp. 61–85, Jul. 1998.</w:t>
      </w:r>
    </w:p>
    <w:p w14:paraId="259D4A10" w14:textId="77777777" w:rsidR="009A7AC4" w:rsidRDefault="00000000">
      <w:pPr>
        <w:spacing w:before="60" w:after="60" w:line="280" w:lineRule="auto"/>
        <w:ind w:left="480" w:hanging="480"/>
        <w:jc w:val="both"/>
      </w:pPr>
      <w:r>
        <w:rPr>
          <w:rFonts w:eastAsia="微軟正黑體"/>
          <w:sz w:val="20"/>
          <w:szCs w:val="20"/>
        </w:rPr>
        <w:t xml:space="preserve">[8]　</w:t>
      </w:r>
      <w:r>
        <w:rPr>
          <w:rFonts w:ascii="Times New Roman" w:eastAsia="Times New Roman" w:hAnsi="Times New Roman" w:cs="Times New Roman"/>
          <w:sz w:val="20"/>
          <w:szCs w:val="20"/>
        </w:rPr>
        <w:t>F. Pedregosa et al., "Scikit-learn: Machine learning in Python," J. Mach. Learn. Res., vol. 12, pp. 2825–2830, Oct. 2011.</w:t>
      </w:r>
    </w:p>
    <w:p w14:paraId="1E2F1285" w14:textId="77777777" w:rsidR="009A7AC4" w:rsidRDefault="00000000">
      <w:pPr>
        <w:spacing w:before="60" w:after="60" w:line="280" w:lineRule="auto"/>
        <w:ind w:left="480" w:hanging="480"/>
        <w:jc w:val="both"/>
      </w:pPr>
      <w:r>
        <w:rPr>
          <w:rFonts w:eastAsia="微軟正黑體"/>
          <w:sz w:val="20"/>
          <w:szCs w:val="20"/>
        </w:rPr>
        <w:t xml:space="preserve">[9]　</w:t>
      </w:r>
      <w:r>
        <w:rPr>
          <w:rFonts w:ascii="Times New Roman" w:eastAsia="Times New Roman" w:hAnsi="Times New Roman" w:cs="Times New Roman"/>
          <w:sz w:val="20"/>
          <w:szCs w:val="20"/>
        </w:rPr>
        <w:t>Ministry of the Interior, "Real estate transaction price registration platform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Lvr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-Land)," Taipei, Taiwan. [Online]. Available: https://lvr.land.moi.gov.tw, Accessed on: May 1, 2026.</w:t>
      </w:r>
    </w:p>
    <w:p w14:paraId="0EE62F78" w14:textId="77777777" w:rsidR="009A7AC4" w:rsidRDefault="00000000">
      <w:pPr>
        <w:spacing w:before="60" w:after="60" w:line="280" w:lineRule="auto"/>
        <w:ind w:left="480" w:hanging="48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eastAsia="微軟正黑體"/>
          <w:sz w:val="20"/>
          <w:szCs w:val="20"/>
        </w:rPr>
        <w:t xml:space="preserve">[10]　</w:t>
      </w:r>
      <w:r>
        <w:rPr>
          <w:rFonts w:ascii="Times New Roman" w:eastAsia="Times New Roman" w:hAnsi="Times New Roman" w:cs="Times New Roman"/>
          <w:sz w:val="20"/>
          <w:szCs w:val="20"/>
        </w:rPr>
        <w:t>C. Manski, "Daniel McFadden and the econometric analysis of discrete choice," Scand. J. Econ., vol. 103, no. 2, pp. 217–229, Jun. 2001.</w:t>
      </w:r>
    </w:p>
    <w:p w14:paraId="0C0109E8" w14:textId="33E7D151" w:rsidR="00F61358" w:rsidRDefault="00F61358">
      <w:pPr>
        <w:spacing w:before="60" w:after="60" w:line="280" w:lineRule="auto"/>
        <w:ind w:left="480" w:hanging="48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‘</w:t>
      </w:r>
    </w:p>
    <w:p w14:paraId="28D4CA98" w14:textId="5513090D" w:rsidR="00073ACE" w:rsidRPr="00F61358" w:rsidRDefault="00073ACE" w:rsidP="004442BE">
      <w:pPr>
        <w:spacing w:before="60" w:after="60" w:line="280" w:lineRule="auto"/>
        <w:jc w:val="both"/>
        <w:rPr>
          <w:rFonts w:ascii="Times New Roman" w:hAnsi="Times New Roman" w:cs="Times New Roman" w:hint="eastAsia"/>
          <w:sz w:val="20"/>
          <w:szCs w:val="20"/>
        </w:rPr>
      </w:pPr>
    </w:p>
    <w:sectPr w:rsidR="00073ACE" w:rsidRPr="00F6135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55F7E" w14:textId="77777777" w:rsidR="0067127A" w:rsidRDefault="0067127A" w:rsidP="00D03738">
      <w:r>
        <w:separator/>
      </w:r>
    </w:p>
  </w:endnote>
  <w:endnote w:type="continuationSeparator" w:id="0">
    <w:p w14:paraId="2CB2F884" w14:textId="77777777" w:rsidR="0067127A" w:rsidRDefault="0067127A" w:rsidP="00D03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CDD70" w14:textId="77777777" w:rsidR="0067127A" w:rsidRDefault="0067127A" w:rsidP="00D03738">
      <w:r>
        <w:separator/>
      </w:r>
    </w:p>
  </w:footnote>
  <w:footnote w:type="continuationSeparator" w:id="0">
    <w:p w14:paraId="4EABD9D1" w14:textId="77777777" w:rsidR="0067127A" w:rsidRDefault="0067127A" w:rsidP="00D037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869A6"/>
    <w:multiLevelType w:val="hybridMultilevel"/>
    <w:tmpl w:val="7742B298"/>
    <w:lvl w:ilvl="0" w:tplc="02B4246C">
      <w:start w:val="1"/>
      <w:numFmt w:val="bullet"/>
      <w:lvlText w:val="●"/>
      <w:lvlJc w:val="left"/>
      <w:pPr>
        <w:ind w:left="720" w:hanging="360"/>
      </w:pPr>
    </w:lvl>
    <w:lvl w:ilvl="1" w:tplc="B83C635E">
      <w:start w:val="1"/>
      <w:numFmt w:val="bullet"/>
      <w:lvlText w:val="○"/>
      <w:lvlJc w:val="left"/>
      <w:pPr>
        <w:ind w:left="1440" w:hanging="360"/>
      </w:pPr>
    </w:lvl>
    <w:lvl w:ilvl="2" w:tplc="8C4488EC">
      <w:start w:val="1"/>
      <w:numFmt w:val="bullet"/>
      <w:lvlText w:val="■"/>
      <w:lvlJc w:val="left"/>
      <w:pPr>
        <w:ind w:left="2160" w:hanging="360"/>
      </w:pPr>
    </w:lvl>
    <w:lvl w:ilvl="3" w:tplc="6F8A8044">
      <w:start w:val="1"/>
      <w:numFmt w:val="bullet"/>
      <w:lvlText w:val="●"/>
      <w:lvlJc w:val="left"/>
      <w:pPr>
        <w:ind w:left="2880" w:hanging="360"/>
      </w:pPr>
    </w:lvl>
    <w:lvl w:ilvl="4" w:tplc="4EB292A2">
      <w:start w:val="1"/>
      <w:numFmt w:val="bullet"/>
      <w:lvlText w:val="○"/>
      <w:lvlJc w:val="left"/>
      <w:pPr>
        <w:ind w:left="3600" w:hanging="360"/>
      </w:pPr>
    </w:lvl>
    <w:lvl w:ilvl="5" w:tplc="F4B09B7A">
      <w:start w:val="1"/>
      <w:numFmt w:val="bullet"/>
      <w:lvlText w:val="■"/>
      <w:lvlJc w:val="left"/>
      <w:pPr>
        <w:ind w:left="4320" w:hanging="360"/>
      </w:pPr>
    </w:lvl>
    <w:lvl w:ilvl="6" w:tplc="178225DE">
      <w:start w:val="1"/>
      <w:numFmt w:val="bullet"/>
      <w:lvlText w:val="●"/>
      <w:lvlJc w:val="left"/>
      <w:pPr>
        <w:ind w:left="5040" w:hanging="360"/>
      </w:pPr>
    </w:lvl>
    <w:lvl w:ilvl="7" w:tplc="32B00246">
      <w:start w:val="1"/>
      <w:numFmt w:val="bullet"/>
      <w:lvlText w:val="●"/>
      <w:lvlJc w:val="left"/>
      <w:pPr>
        <w:ind w:left="5760" w:hanging="360"/>
      </w:pPr>
    </w:lvl>
    <w:lvl w:ilvl="8" w:tplc="87426BB6">
      <w:start w:val="1"/>
      <w:numFmt w:val="bullet"/>
      <w:lvlText w:val="●"/>
      <w:lvlJc w:val="left"/>
      <w:pPr>
        <w:ind w:left="6480" w:hanging="360"/>
      </w:pPr>
    </w:lvl>
  </w:abstractNum>
  <w:num w:numId="1" w16cid:durableId="21091545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AC4"/>
    <w:rsid w:val="00073ACE"/>
    <w:rsid w:val="001844B3"/>
    <w:rsid w:val="002752F6"/>
    <w:rsid w:val="004442BE"/>
    <w:rsid w:val="00474B9B"/>
    <w:rsid w:val="005F7F76"/>
    <w:rsid w:val="0062742C"/>
    <w:rsid w:val="0067127A"/>
    <w:rsid w:val="00732EFE"/>
    <w:rsid w:val="00832360"/>
    <w:rsid w:val="009A7AC4"/>
    <w:rsid w:val="00D03738"/>
    <w:rsid w:val="00F6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759F33"/>
  <w15:docId w15:val="{F7DCEEB5-6539-4800-8B50-E31EA1BC4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Theme="minorEastAsia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037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D03738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D037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D0373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1447</TotalTime>
  <Pages>1</Pages>
  <Words>954</Words>
  <Characters>5440</Characters>
  <Application>Microsoft Office Word</Application>
  <DocSecurity>0</DocSecurity>
  <Lines>45</Lines>
  <Paragraphs>12</Paragraphs>
  <ScaleCrop>false</ScaleCrop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執森 黃</cp:lastModifiedBy>
  <cp:revision>9</cp:revision>
  <cp:lastPrinted>2026-07-29T10:17:00Z</cp:lastPrinted>
  <dcterms:created xsi:type="dcterms:W3CDTF">2026-05-27T16:02:00Z</dcterms:created>
  <dcterms:modified xsi:type="dcterms:W3CDTF">2026-08-11T11:41:00Z</dcterms:modified>
</cp:coreProperties>
</file>