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B2A4A"/>
          <w:sz w:val="48"/>
        </w:rPr>
        <w:t>Reference Data Fast-Track Ingestion</w:t>
      </w:r>
    </w:p>
    <w:p>
      <w:r>
        <w:rPr>
          <w:b/>
          <w:color w:val="1C7293"/>
          <w:sz w:val="28"/>
        </w:rPr>
        <w:t>High-Level Design (HLD)</w:t>
      </w:r>
    </w:p>
    <w:p>
      <w:pPr>
        <w:spacing w:after="160"/>
      </w:pPr>
      <w:r>
        <w:rPr>
          <w:i/>
          <w:color w:val="065A82"/>
          <w:sz w:val="21"/>
        </w:rPr>
        <w:t>Azure Databricks Federated Data Analytics Platform (DAP)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4320"/>
        <w:gridCol w:w="4320"/>
      </w:tblGrid>
      <w:tr>
        <w:tc>
          <w:tcPr>
            <w:tcW w:type="dxa" w:w="2304"/>
            <w:shd w:val="clear" w:color="auto" w:fill="1B2A4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200"/>
            <w:shd w:val="clear" w:color="auto" w:fill="1B2A4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Draft v0.1 — for review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9 June 2026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Author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DAP Platform Architecture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Related policy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Policy §22.6 (Reference Data Ingestion), §22.6.10–11 (Excel Tooling), §25 (PII Handling)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Supersedes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Nothing — refinement of the existing Reference Data Ingestion Pattern (CLAUDE.md §2a)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6" w:space="4" w:color="00B4D8"/>
        </w:pBdr>
      </w:pPr>
      <w:r>
        <w:rPr>
          <w:b/>
          <w:color w:val="1B2A4A"/>
          <w:sz w:val="32"/>
        </w:rPr>
        <w:t>1. Executive summary</w:t>
      </w:r>
    </w:p>
    <w:p>
      <w:pPr>
        <w:spacing w:after="120"/>
      </w:pPr>
      <w:r>
        <w:rPr>
          <w:b w:val="0"/>
          <w:i w:val="0"/>
          <w:sz w:val="21"/>
        </w:rPr>
        <w:t>DAP today ingests reference / lookup datasets (Excel, CSV, JSON-from-API, files from SharePoint or email) through the full canonical batch pipeline: ADF → Bronze ADLS → Service Bus → Databricks SCD/DQ → Conformed Delta tables. For this class of data that machinery is unnecessary and expensive — each dataset takes ~2 weeks to onboard.</w:t>
      </w:r>
    </w:p>
    <w:p>
      <w:pPr>
        <w:spacing w:after="120"/>
      </w:pPr>
      <w:r>
        <w:rPr>
          <w:b w:val="0"/>
          <w:i w:val="0"/>
          <w:sz w:val="21"/>
        </w:rPr>
        <w:t>These datasets share three properties that make the heavy path wrong:</w:t>
      </w:r>
    </w:p>
    <w:p>
      <w:pPr>
        <w:pStyle w:val="ListBullet"/>
        <w:spacing w:after="120"/>
      </w:pPr>
      <w:r>
        <w:rPr>
          <w:b w:val="0"/>
          <w:i w:val="0"/>
          <w:sz w:val="21"/>
        </w:rPr>
        <w:t>Full overwrite, not incremental — the file is replaced wholesale every refresh. No merge, no SCD, no change data.</w:t>
      </w:r>
    </w:p>
    <w:p>
      <w:pPr>
        <w:pStyle w:val="ListBullet"/>
        <w:spacing w:after="120"/>
      </w:pPr>
      <w:r>
        <w:rPr>
          <w:b w:val="0"/>
          <w:i w:val="0"/>
          <w:sz w:val="21"/>
        </w:rPr>
        <w:t>Low cadence — quarterly or yearly. The pipeline fires 1–4 times a year.</w:t>
      </w:r>
    </w:p>
    <w:p>
      <w:pPr>
        <w:pStyle w:val="ListBullet"/>
        <w:spacing w:after="120"/>
      </w:pPr>
      <w:r>
        <w:rPr>
          <w:b w:val="0"/>
          <w:i w:val="0"/>
          <w:sz w:val="21"/>
        </w:rPr>
        <w:t>Small and bounded — ≤100k rows × ≤50 columns, named business owner, no PII.</w:t>
      </w:r>
    </w:p>
    <w:p>
      <w:pPr>
        <w:spacing w:after="120"/>
      </w:pPr>
      <w:r>
        <w:rPr>
          <w:b w:val="0"/>
          <w:i w:val="0"/>
          <w:sz w:val="21"/>
        </w:rPr>
        <w:t>This HLD defines a fast-track, metadata-driven ingestion path that publishes reference data directly into the Conformed/Reference layer without ADF, Bronze, SCD, or Service Bus. The design:</w:t>
      </w:r>
    </w:p>
    <w:p>
      <w:pPr>
        <w:pStyle w:val="ListNumber"/>
        <w:spacing w:after="60"/>
      </w:pPr>
      <w:r>
        <w:rPr>
          <w:b w:val="0"/>
          <w:sz w:val="21"/>
        </w:rPr>
        <w:t>Acquires files via a VNet-integrated Function App (API / Microsoft Graph for SharePoint / monitored mailbox) into a quarantine UC Volume.</w:t>
      </w:r>
    </w:p>
    <w:p>
      <w:pPr>
        <w:pStyle w:val="ListNumber"/>
        <w:spacing w:after="60"/>
      </w:pPr>
      <w:r>
        <w:rPr>
          <w:b w:val="0"/>
          <w:sz w:val="21"/>
        </w:rPr>
        <w:t>Uses a native Databricks File-Arrival Trigger (no Service Bus) to fire one parameterized loader job.</w:t>
      </w:r>
    </w:p>
    <w:p>
      <w:pPr>
        <w:pStyle w:val="ListNumber"/>
        <w:spacing w:after="60"/>
      </w:pPr>
      <w:r>
        <w:rPr>
          <w:b w:val="0"/>
          <w:sz w:val="21"/>
        </w:rPr>
        <w:t>Gates before publish — schema-contract check, PII/compliance tripwire (hard block), and DQ all run on the file in quarantine. The live table is only written on a clean pass.</w:t>
      </w:r>
    </w:p>
    <w:p>
      <w:pPr>
        <w:pStyle w:val="ListNumber"/>
        <w:spacing w:after="60"/>
      </w:pPr>
      <w:r>
        <w:rPr>
          <w:b w:val="0"/>
          <w:sz w:val="21"/>
        </w:rPr>
        <w:t>Publishes with CREATE OR REPLACE plus an immutable annual snapshot — both in-year time-travel and durable cross-year rollback.</w:t>
      </w:r>
    </w:p>
    <w:p>
      <w:pPr>
        <w:pStyle w:val="ListNumber"/>
        <w:spacing w:after="60"/>
      </w:pPr>
      <w:r>
        <w:rPr>
          <w:b w:val="0"/>
          <w:sz w:val="21"/>
        </w:rPr>
        <w:t>Is onboarded by configuration, not code — a JSON extraction config + schema contract + one reference_data_registry row. Target: hours, not weeks.</w:t>
      </w:r>
    </w:p>
    <w:p>
      <w:pPr>
        <w:spacing w:after="120"/>
      </w:pPr>
      <w:r>
        <w:rPr>
          <w:b w:val="0"/>
          <w:i/>
          <w:color w:val="065A82"/>
          <w:sz w:val="21"/>
        </w:rPr>
        <w:t>Headline outcomes: ~2 weeks → hours per dataset; no Bronze copy; no Service Bus to operate; PII can never reach the governed catalog (gated before publish); true multi-year rollback.</w:t>
      </w:r>
    </w:p>
    <w:p>
      <w:pPr>
        <w:spacing w:before="280" w:after="80"/>
        <w:pBdr>
          <w:bottom w:val="single" w:sz="6" w:space="4" w:color="00B4D8"/>
        </w:pBdr>
      </w:pPr>
      <w:r>
        <w:rPr>
          <w:b/>
          <w:color w:val="1B2A4A"/>
          <w:sz w:val="32"/>
        </w:rPr>
        <w:t>2. Scope</w:t>
      </w:r>
    </w:p>
    <w:p>
      <w:pPr>
        <w:spacing w:before="200" w:after="80"/>
      </w:pPr>
      <w:r>
        <w:rPr>
          <w:b/>
          <w:color w:val="1C7293"/>
          <w:sz w:val="23"/>
        </w:rPr>
        <w:t>2.1 In scope</w:t>
      </w:r>
    </w:p>
    <w:p>
      <w:pPr>
        <w:pStyle w:val="ListBullet"/>
        <w:spacing w:after="120"/>
      </w:pPr>
      <w:r>
        <w:rPr>
          <w:b w:val="0"/>
          <w:i w:val="0"/>
          <w:sz w:val="21"/>
        </w:rPr>
        <w:t>Reference / lookup datasets that satisfy the §22.6 eligibility rules (below).</w:t>
      </w:r>
    </w:p>
    <w:p>
      <w:pPr>
        <w:pStyle w:val="ListBullet"/>
        <w:spacing w:after="120"/>
      </w:pPr>
      <w:r>
        <w:rPr>
          <w:b w:val="0"/>
          <w:i w:val="0"/>
          <w:sz w:val="21"/>
        </w:rPr>
        <w:t>Sources: REST/JSON API, SharePoint (private, via Microsoft Graph), CSV/Excel via monitored mailbox or manual upload.</w:t>
      </w:r>
    </w:p>
    <w:p>
      <w:pPr>
        <w:pStyle w:val="ListBullet"/>
        <w:spacing w:after="120"/>
      </w:pPr>
      <w:r>
        <w:rPr>
          <w:b w:val="0"/>
          <w:i w:val="0"/>
          <w:sz w:val="21"/>
        </w:rPr>
        <w:t>Publish target: prod_catalog.reference_data.&lt;domain&gt;_&lt;entity&gt; (and lower-env equivalents).</w:t>
      </w:r>
    </w:p>
    <w:p>
      <w:pPr>
        <w:spacing w:before="200" w:after="80"/>
      </w:pPr>
      <w:r>
        <w:rPr>
          <w:b/>
          <w:color w:val="1C7293"/>
          <w:sz w:val="23"/>
        </w:rPr>
        <w:t>2.2 Out of scope</w:t>
      </w:r>
    </w:p>
    <w:p>
      <w:pPr>
        <w:pStyle w:val="ListBullet"/>
        <w:spacing w:after="120"/>
      </w:pPr>
      <w:r>
        <w:rPr>
          <w:b w:val="0"/>
          <w:i w:val="0"/>
          <w:sz w:val="21"/>
        </w:rPr>
        <w:t>Transactional / high-frequency data — stays on the canonical ADF path (CLAUDE.md §2).</w:t>
      </w:r>
    </w:p>
    <w:p>
      <w:pPr>
        <w:pStyle w:val="ListBullet"/>
        <w:spacing w:after="120"/>
      </w:pPr>
      <w:r>
        <w:rPr>
          <w:b w:val="0"/>
          <w:i w:val="0"/>
          <w:sz w:val="21"/>
        </w:rPr>
        <w:t>Incremental / SCD datasets — stays on the canonical path.</w:t>
      </w:r>
    </w:p>
    <w:p>
      <w:pPr>
        <w:pStyle w:val="ListBullet"/>
        <w:spacing w:after="120"/>
      </w:pPr>
      <w:r>
        <w:rPr>
          <w:b w:val="0"/>
          <w:i w:val="0"/>
          <w:sz w:val="21"/>
        </w:rPr>
        <w:t>Datasets containing PII by design — rejected by this path; they use the Electralink masking pattern (§2e), not reference data.</w:t>
      </w:r>
    </w:p>
    <w:p>
      <w:pPr>
        <w:pStyle w:val="ListBullet"/>
        <w:spacing w:after="120"/>
      </w:pPr>
      <w:r>
        <w:rPr>
          <w:b w:val="0"/>
          <w:i w:val="0"/>
          <w:sz w:val="21"/>
        </w:rPr>
        <w:t>Streaming reference feeds (future, policy §22.5).</w:t>
      </w:r>
    </w:p>
    <w:p>
      <w:pPr>
        <w:spacing w:before="200" w:after="80"/>
      </w:pPr>
      <w:r>
        <w:rPr>
          <w:b/>
          <w:color w:val="1C7293"/>
          <w:sz w:val="23"/>
        </w:rPr>
        <w:t>2.3 Eligibility gate (must all hold — from §22.6)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4320"/>
        <w:gridCol w:w="4320"/>
      </w:tblGrid>
      <w:tr>
        <w:tc>
          <w:tcPr>
            <w:tcW w:type="dxa" w:w="2592"/>
            <w:shd w:val="clear" w:color="auto" w:fill="1B2A4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6912"/>
            <w:shd w:val="clear" w:color="auto" w:fill="1B2A4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Rule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Cadence</w:t>
            </w:r>
          </w:p>
        </w:tc>
        <w:tc>
          <w:tcPr>
            <w:tcW w:type="dxa" w:w="69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Quarterly or less frequent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Volume</w:t>
            </w:r>
          </w:p>
        </w:tc>
        <w:tc>
          <w:tcPr>
            <w:tcW w:type="dxa" w:w="691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≤100k rows × ≤50 columns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Refresh semantics</w:t>
            </w:r>
          </w:p>
        </w:tc>
        <w:tc>
          <w:tcPr>
            <w:tcW w:type="dxa" w:w="69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Full overwrite (non-incremental)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Ownership</w:t>
            </w:r>
          </w:p>
        </w:tc>
        <w:tc>
          <w:tcPr>
            <w:tcW w:type="dxa" w:w="691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Named business owner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PII</w:t>
            </w:r>
          </w:p>
        </w:tc>
        <w:tc>
          <w:tcPr>
            <w:tcW w:type="dxa" w:w="69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None</w:t>
            </w:r>
            <w:r>
              <w:rPr>
                <w:b w:val="0"/>
                <w:sz w:val="18"/>
              </w:rPr>
              <w:t xml:space="preserve"> — PII presence rejects the load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Source hygiene</w:t>
            </w:r>
          </w:p>
        </w:tc>
        <w:tc>
          <w:tcPr>
            <w:tcW w:type="dxa" w:w="691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No merged cells / pivot tables / colour-as-meaning; complex layouts need a validated JSON extraction config (§22.6.10)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6" w:space="4" w:color="00B4D8"/>
        </w:pBdr>
      </w:pPr>
      <w:r>
        <w:rPr>
          <w:b/>
          <w:color w:val="1B2A4A"/>
          <w:sz w:val="32"/>
        </w:rPr>
        <w:t>3. Why not the canonical ADF path (rationale)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2880"/>
        <w:gridCol w:w="2880"/>
        <w:gridCol w:w="2880"/>
      </w:tblGrid>
      <w:tr>
        <w:tc>
          <w:tcPr>
            <w:tcW w:type="dxa" w:w="3312"/>
            <w:shd w:val="clear" w:color="auto" w:fill="1B2A4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Canonical batch concern</w:t>
            </w:r>
          </w:p>
        </w:tc>
        <w:tc>
          <w:tcPr>
            <w:tcW w:type="dxa" w:w="3600"/>
            <w:shd w:val="clear" w:color="auto" w:fill="1B2A4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Reference data reality</w:t>
            </w:r>
          </w:p>
        </w:tc>
        <w:tc>
          <w:tcPr>
            <w:tcW w:type="dxa" w:w="2736"/>
            <w:shd w:val="clear" w:color="auto" w:fill="1B2A4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Conclusion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Bronze immutable raw landing for replay</w:t>
            </w:r>
          </w:p>
        </w:tc>
        <w:tc>
          <w:tcPr>
            <w:tcW w:type="dxa" w:w="360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File fully overwritten each refresh; nothing to replay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Bronze copy adds no value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SCD1/SCD2 merge</w:t>
            </w:r>
          </w:p>
        </w:tc>
        <w:tc>
          <w:tcPr>
            <w:tcW w:type="dxa" w:w="360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No change data — full overwrite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No merge needed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Service Bus ADF→Databricks hand-off</w:t>
            </w:r>
          </w:p>
        </w:tc>
        <w:tc>
          <w:tcPr>
            <w:tcW w:type="dxa" w:w="360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1–4 events/year; native file events exist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Service Bus is standing machinery for almost no events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ADF batch orchestration</w:t>
            </w:r>
          </w:p>
        </w:tc>
        <w:tc>
          <w:tcPr>
            <w:tcW w:type="dxa" w:w="360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Source is an API/SharePoint/email file, not a DB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ADF connector overhead unjustified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Per-dataset pipeline build</w:t>
            </w:r>
          </w:p>
        </w:tc>
        <w:tc>
          <w:tcPr>
            <w:tcW w:type="dxa" w:w="360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Datasets are structurally similar lookups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Bespoke code is the real cost (the 2 weeks)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>Consistent with policy: §22.6 already sanctions a non-ADF, Volume-based loader for reference data. This HLD modernises that pattern (event trigger, quarantine gate, registry-driven) and fixes two gaps in the original sketch — schema auto-evolution and publish-then-scan (see §11).</w:t>
      </w:r>
    </w:p>
    <w:p>
      <w:pPr>
        <w:spacing w:before="280" w:after="80"/>
        <w:pBdr>
          <w:bottom w:val="single" w:sz="6" w:space="4" w:color="00B4D8"/>
        </w:pBdr>
      </w:pPr>
      <w:r>
        <w:rPr>
          <w:b/>
          <w:color w:val="1B2A4A"/>
          <w:sz w:val="32"/>
        </w:rPr>
        <w:t>4. Target architecture</w:t>
      </w:r>
    </w:p>
    <w:p>
      <w:pPr>
        <w:spacing w:before="200" w:after="80"/>
      </w:pPr>
      <w:r>
        <w:rPr>
          <w:b/>
          <w:color w:val="1C7293"/>
          <w:sz w:val="23"/>
        </w:rPr>
        <w:t>4.1 Logical flow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</w:tblPr>
      <w:tblGrid>
        <w:gridCol w:w="8640"/>
      </w:tblGrid>
      <w:tr>
        <w:tc>
          <w:tcPr>
            <w:tcW w:type="dxa" w:w="8640"/>
            <w:shd w:val="clear" w:color="auto" w:fill="F4F6F8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B2A4A"/>
                <w:sz w:val="17"/>
              </w:rPr>
              <w:t>┌── Acquire 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>│  REST/JSON API  ·  SharePoint (MS Graph)  ·  monitored mailbox / upload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>│        → Function App  (VNet-integrated, Managed Identity → Key Vault)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>└────────────────────────────┬─────────────────────────────────────────────┘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 xml:space="preserve">                             ▼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 xml:space="preserve">        QUARANTINE UC Volume (ADLS Gen2, UC-managed)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 xml:space="preserve">        prod_catalog.reference_data_landing.&lt;domain&gt;_quarantine_vol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 xml:space="preserve">            /&lt;entity&gt;/&lt;load_date&gt;/&lt;file&gt;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 xml:space="preserve">                             │  Databricks FILE-ARRIVAL TRIGGER (no Service Bus)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 xml:space="preserve">                             ▼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>┌── ONE parameterized Loader Job (driven by reference_data_registry row) 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>│  1. Extract        Generic Excel Extractor + JSON config (§22.6.10)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>│  2. Schema contract  pandera / great_expectations — HARD FAIL, no merge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>│  3. PII tripwire    Presidio scan — HARD BLOCK on any PII detected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>│  4. DQ checks       row counts, nulls, domain rules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>└───────────────┬──────────────────────────────────┬───────────────────────┘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 xml:space="preserve">        all pass│                                   │any fail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 xml:space="preserve">                ▼                                   ▼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 xml:space="preserve">  PUBLISH (clean)                          REJECT (quarantine)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 xml:space="preserve">  CREATE OR REPLACE TABLE                  move file → _rejected/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 xml:space="preserve">   prod_catalog.reference_data.            load_history (REJECTED, reason)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 xml:space="preserve">     &lt;domain&gt;_&lt;entity&gt;                     notify owner + steward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 xml:space="preserve">   + audit columns                         LIVE TABLE + SNAPSHOTS UNTOUCHED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 xml:space="preserve">   + ANNUAL SNAPSHOT (&lt;entity&gt;_history partition / vYYYY)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 xml:space="preserve">   + load_history (SUCCESS) + registry update + notify on contract change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C7293"/>
          <w:sz w:val="23"/>
        </w:rPr>
        <w:t>4.2 Two-zone (quarantine → clean) model</w:t>
      </w:r>
    </w:p>
    <w:p>
      <w:pPr>
        <w:spacing w:after="120"/>
      </w:pPr>
      <w:r>
        <w:rPr>
          <w:b w:val="0"/>
          <w:i w:val="0"/>
          <w:sz w:val="21"/>
        </w:rPr>
        <w:t>The two storage zones in the original sketch are reframed as a quarantine gate, not a redundant double-hop:</w:t>
      </w:r>
    </w:p>
    <w:p>
      <w:pPr>
        <w:pStyle w:val="ListBullet"/>
        <w:spacing w:after="120"/>
      </w:pPr>
      <w:r>
        <w:rPr>
          <w:b w:val="0"/>
          <w:i w:val="0"/>
          <w:sz w:val="21"/>
        </w:rPr>
        <w:t>Quarantine Volume — where the Function App lands every incoming file. Untrusted; files here have not passed schema/PII/DQ.</w:t>
      </w:r>
    </w:p>
    <w:p>
      <w:pPr>
        <w:pStyle w:val="ListBullet"/>
        <w:spacing w:after="120"/>
      </w:pPr>
      <w:r>
        <w:rPr>
          <w:b w:val="0"/>
          <w:i w:val="0"/>
          <w:sz w:val="21"/>
        </w:rPr>
        <w:t>Published table (clean) — prod_catalog.reference_data.&lt;domain&gt;_&lt;entity&gt;. Only ever written by the loader on a clean pass.</w:t>
      </w:r>
    </w:p>
    <w:p>
      <w:pPr>
        <w:spacing w:after="120"/>
      </w:pPr>
      <w:r>
        <w:rPr>
          <w:b w:val="0"/>
          <w:i w:val="0"/>
          <w:sz w:val="21"/>
        </w:rPr>
        <w:t>There is no separate "ADLS LZ then UC Volume" copy — the Function App writes directly into the quarantine UC Volume (governed, audited). This removes the duplicate hop while preserving a clear trust boundary.</w:t>
      </w:r>
    </w:p>
    <w:p>
      <w:pPr>
        <w:spacing w:before="200" w:after="80"/>
      </w:pPr>
      <w:r>
        <w:rPr>
          <w:b/>
          <w:color w:val="1C7293"/>
          <w:sz w:val="23"/>
        </w:rPr>
        <w:t>4.3 Component responsibilities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1B2A4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4032"/>
            <w:shd w:val="clear" w:color="auto" w:fill="1B2A4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Responsibility</w:t>
            </w:r>
          </w:p>
        </w:tc>
        <w:tc>
          <w:tcPr>
            <w:tcW w:type="dxa" w:w="2736"/>
            <w:shd w:val="clear" w:color="auto" w:fill="1B2A4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Identity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Function App func-dap-refdata-acquire-prd-uks-01</w:t>
            </w:r>
          </w:p>
        </w:tc>
        <w:tc>
          <w:tcPr>
            <w:tcW w:type="dxa" w:w="403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Pull from API/Graph/mailbox; write raw file to quarantine Volume; stamp load_date path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Managed Identity → Key Vault; SPN for Graph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Quarantine UC Volume</w:t>
            </w:r>
          </w:p>
        </w:tc>
        <w:tc>
          <w:tcPr>
            <w:tcW w:type="dxa" w:w="403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Untrusted landing; per-domain/entity/date folders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UC-governed; processing SPN write, no human read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File-Arrival Trigger</w:t>
            </w:r>
          </w:p>
        </w:tc>
        <w:tc>
          <w:tcPr>
            <w:tcW w:type="dxa" w:w="403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Fire the loader when a file lands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Native UC file events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Loader Job (one, parameterized)</w:t>
            </w:r>
          </w:p>
        </w:tc>
        <w:tc>
          <w:tcPr>
            <w:tcW w:type="dxa" w:w="403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Extract → contract → PII tripwire → DQ → publish + snapshot → register → notify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spn-azure-dap-consumption-processing-prd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reference_data_registry</w:t>
            </w:r>
          </w:p>
        </w:tc>
        <w:tc>
          <w:tcPr>
            <w:tcW w:type="dxa" w:w="403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Per-dataset config driving the loader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App SQL DB sql-dap-common-prd-uks-01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reference_data_load_history</w:t>
            </w:r>
          </w:p>
        </w:tc>
        <w:tc>
          <w:tcPr>
            <w:tcW w:type="dxa" w:w="403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Append-only audit of every load attempt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App SQL DB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Published table + annual snapshot</w:t>
            </w:r>
          </w:p>
        </w:tc>
        <w:tc>
          <w:tcPr>
            <w:tcW w:type="dxa" w:w="403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Current year live; immutable per-year history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UC reference_data schema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6" w:space="4" w:color="00B4D8"/>
        </w:pBdr>
      </w:pPr>
      <w:r>
        <w:rPr>
          <w:b/>
          <w:color w:val="1B2A4A"/>
          <w:sz w:val="32"/>
        </w:rPr>
        <w:t>5. Data layer &amp; onboarding model (the fast-track)</w:t>
      </w:r>
    </w:p>
    <w:p>
      <w:pPr>
        <w:spacing w:before="200" w:after="80"/>
      </w:pPr>
      <w:r>
        <w:rPr>
          <w:b/>
          <w:color w:val="1C7293"/>
          <w:sz w:val="23"/>
        </w:rPr>
        <w:t>5.1 Metadata-driven, not per-dataset code</w:t>
      </w:r>
    </w:p>
    <w:p>
      <w:pPr>
        <w:spacing w:after="120"/>
      </w:pPr>
      <w:r>
        <w:rPr>
          <w:b w:val="0"/>
          <w:i w:val="0"/>
          <w:sz w:val="21"/>
        </w:rPr>
        <w:t>The "2 weeks per dataset" cost is bespoke work, not pipeline shape. The fast-track makes onboarding a config entry:</w:t>
      </w:r>
    </w:p>
    <w:p>
      <w:pPr>
        <w:spacing w:after="120"/>
      </w:pPr>
      <w:r>
        <w:rPr>
          <w:b w:val="0"/>
          <w:i/>
          <w:color w:val="065A82"/>
          <w:sz w:val="21"/>
        </w:rPr>
        <w:t>To onboard a new reference dataset: add (1) a JSON extraction config, (2) a schema contract (pandera/GE), and (3) one reference_data_registry row. No new code, no new job.</w:t>
      </w:r>
    </w:p>
    <w:p>
      <w:pPr>
        <w:spacing w:after="120"/>
      </w:pPr>
      <w:r>
        <w:rPr>
          <w:b w:val="0"/>
          <w:i w:val="0"/>
          <w:sz w:val="21"/>
        </w:rPr>
        <w:t>One parameterized loader reads the registry row and runs the same five steps for any dataset, reusing the existing Generic_Excel_Extractor.py + Excel_Config_Generator.py (CLAUDE.md §2a-ii) and honouring the "no bespoke Excel extraction code" rule (§10).</w:t>
      </w:r>
    </w:p>
    <w:p>
      <w:pPr>
        <w:spacing w:before="200" w:after="80"/>
      </w:pPr>
      <w:r>
        <w:rPr>
          <w:b/>
          <w:color w:val="1C7293"/>
          <w:sz w:val="23"/>
        </w:rPr>
        <w:t>5.2 reference_data_registry — driving columns (extension)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4320"/>
        <w:gridCol w:w="4320"/>
      </w:tblGrid>
      <w:tr>
        <w:tc>
          <w:tcPr>
            <w:tcW w:type="dxa" w:w="2736"/>
            <w:shd w:val="clear" w:color="auto" w:fill="1B2A4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6768"/>
            <w:shd w:val="clear" w:color="auto" w:fill="1B2A4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dataset_id</w:t>
            </w:r>
          </w:p>
        </w:tc>
        <w:tc>
          <w:tcPr>
            <w:tcW w:type="dxa" w:w="676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PK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domain, entity</w:t>
            </w:r>
          </w:p>
        </w:tc>
        <w:tc>
          <w:tcPr>
            <w:tcW w:type="dxa" w:w="676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→ target prod_catalog.reference_data.&lt;domain&gt;_&lt;entity&gt;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source_type</w:t>
            </w:r>
          </w:p>
        </w:tc>
        <w:tc>
          <w:tcPr>
            <w:tcW w:type="dxa" w:w="676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api / sharepoint / mailbox / manual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source_config</w:t>
            </w:r>
          </w:p>
        </w:tc>
        <w:tc>
          <w:tcPr>
            <w:tcW w:type="dxa" w:w="676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endpoint / Graph drive+path / mailbox rule (JSON)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quarantine_path</w:t>
            </w:r>
          </w:p>
        </w:tc>
        <w:tc>
          <w:tcPr>
            <w:tcW w:type="dxa" w:w="676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…/&lt;domain&gt;_quarantine_vol/&lt;entity&gt;/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extract_config_ref</w:t>
            </w:r>
          </w:p>
        </w:tc>
        <w:tc>
          <w:tcPr>
            <w:tcW w:type="dxa" w:w="676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path to JSON extraction config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schema_contract_ref</w:t>
            </w:r>
          </w:p>
        </w:tc>
        <w:tc>
          <w:tcPr>
            <w:tcW w:type="dxa" w:w="676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path to pandera/GE contract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dq_rules_ref</w:t>
            </w:r>
          </w:p>
        </w:tc>
        <w:tc>
          <w:tcPr>
            <w:tcW w:type="dxa" w:w="676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DQ rule set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snapshot_policy</w:t>
            </w:r>
          </w:p>
        </w:tc>
        <w:tc>
          <w:tcPr>
            <w:tcW w:type="dxa" w:w="676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history_partition / dated_table (§5.4)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owner_upn, steward_upn</w:t>
            </w:r>
          </w:p>
        </w:tc>
        <w:tc>
          <w:tcPr>
            <w:tcW w:type="dxa" w:w="676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notification targets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cadence</w:t>
            </w:r>
          </w:p>
        </w:tc>
        <w:tc>
          <w:tcPr>
            <w:tcW w:type="dxa" w:w="676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quarterly / yearly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active</w:t>
            </w:r>
          </w:p>
        </w:tc>
        <w:tc>
          <w:tcPr>
            <w:tcW w:type="dxa" w:w="676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enable/disable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C7293"/>
          <w:sz w:val="23"/>
        </w:rPr>
        <w:t>5.3 Published table — audit columns (from §22.6)</w:t>
      </w:r>
    </w:p>
    <w:p>
      <w:pPr>
        <w:spacing w:after="120"/>
      </w:pPr>
      <w:r>
        <w:rPr>
          <w:b w:val="0"/>
          <w:i w:val="0"/>
          <w:sz w:val="21"/>
        </w:rPr>
        <w:t>Auto-added on publish: source_file_name, source_file_sha256, loaded_at_utc, loaded_by_upn, version_effective_from.</w:t>
      </w:r>
    </w:p>
    <w:p>
      <w:pPr>
        <w:spacing w:before="200" w:after="80"/>
      </w:pPr>
      <w:r>
        <w:rPr>
          <w:b/>
          <w:color w:val="1C7293"/>
          <w:sz w:val="23"/>
        </w:rPr>
        <w:t>5.4 Rollback model — annual snapshot + short time-travel (agreed)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1B2A4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4752"/>
            <w:shd w:val="clear" w:color="auto" w:fill="1B2A4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Mechanism</w:t>
            </w:r>
          </w:p>
        </w:tc>
        <w:tc>
          <w:tcPr>
            <w:tcW w:type="dxa" w:w="2736"/>
            <w:shd w:val="clear" w:color="auto" w:fill="1B2A4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Rollback role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Live table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CREATE OR REPLACE + 90-day deletedFileRetentionDuration (§22.6 default)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In-year "oops-undo" via Delta time-travel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Annual snapshot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Immutable per-year copy — &lt;entity&gt;_history partitioned by version_effective_from, or dated &lt;entity&gt;_vYYYY (per snapshot_policy)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/>
                <w:sz w:val="18"/>
              </w:rPr>
              <w:t>Durable cross-year rollback</w:t>
            </w:r>
            <w:r>
              <w:rPr>
                <w:b w:val="0"/>
                <w:sz w:val="18"/>
              </w:rPr>
              <w:t xml:space="preserve"> — VACUUM-independent, queryable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>This keeps the §22.6 90-day default and gives true multi-year rollback — solving the original sketch's gap where 90-day time-travel could not reach last year's version for yearly-cadence data.</w:t>
      </w:r>
    </w:p>
    <w:p>
      <w:pPr>
        <w:spacing w:before="280" w:after="80"/>
        <w:pBdr>
          <w:bottom w:val="single" w:sz="6" w:space="4" w:color="00B4D8"/>
        </w:pBdr>
      </w:pPr>
      <w:r>
        <w:rPr>
          <w:b/>
          <w:color w:val="1B2A4A"/>
          <w:sz w:val="32"/>
        </w:rPr>
        <w:t>6. Compliance &amp; PII — hard tripwire (agreed)</w:t>
      </w:r>
    </w:p>
    <w:p>
      <w:pPr>
        <w:spacing w:after="120"/>
      </w:pPr>
      <w:r>
        <w:rPr>
          <w:b w:val="0"/>
          <w:i w:val="0"/>
          <w:sz w:val="21"/>
        </w:rPr>
        <w:t>Reference data must contain no PII (§22.6). The scan is therefore a tripwire that blocks, not a masking step.</w:t>
      </w:r>
    </w:p>
    <w:p>
      <w:pPr>
        <w:pStyle w:val="ListBullet"/>
        <w:spacing w:after="120"/>
      </w:pPr>
      <w:r>
        <w:rPr>
          <w:b w:val="0"/>
          <w:i w:val="0"/>
          <w:sz w:val="21"/>
        </w:rPr>
        <w:t>Placement: before publish. The scan runs on the file in quarantine. The published table is only written on a clean pass — so non-compliant data never lands in the governed catalog or in Delta history. No exposure to erase, no REORG/VACUUM/CDF-purge per failed load.</w:t>
      </w:r>
    </w:p>
    <w:p>
      <w:pPr>
        <w:pStyle w:val="ListBullet"/>
        <w:spacing w:after="120"/>
      </w:pPr>
      <w:r>
        <w:rPr>
          <w:b w:val="0"/>
          <w:i w:val="0"/>
          <w:sz w:val="21"/>
        </w:rPr>
        <w:t>Behaviour: hard block. Any PII detected → reject file → move to _rejected/ → load_history (REJECTED, reason=PII_DETECTED) → notify owner + data steward → live table and snapshots untouched.</w:t>
      </w:r>
    </w:p>
    <w:p>
      <w:pPr>
        <w:pStyle w:val="ListBullet"/>
        <w:spacing w:after="120"/>
      </w:pPr>
      <w:r>
        <w:rPr>
          <w:b w:val="0"/>
          <w:i w:val="0"/>
          <w:sz w:val="21"/>
        </w:rPr>
        <w:t>Tooling: Microsoft Presidio (PII detection) as the gate; schema-contract + DQ as the structural gates.</w:t>
      </w:r>
    </w:p>
    <w:p>
      <w:pPr>
        <w:pStyle w:val="ListBullet"/>
        <w:spacing w:after="120"/>
      </w:pPr>
      <w:r>
        <w:rPr>
          <w:b w:val="0"/>
          <w:i w:val="0"/>
          <w:sz w:val="21"/>
        </w:rPr>
        <w:t>Deliberate contrast with Electralink (§2e): Electralink masks PII because PII is the dataset's purpose; reference data blocks PII because it should not be present. Same platform, opposite posture — stated to avoid pattern confusion.</w:t>
      </w:r>
    </w:p>
    <w:p>
      <w:pPr>
        <w:spacing w:after="120"/>
      </w:pPr>
      <w:r>
        <w:rPr>
          <w:b w:val="0"/>
          <w:i/>
          <w:color w:val="FF6B35"/>
          <w:sz w:val="21"/>
        </w:rPr>
        <w:t>A PII hit is treated as an onboarding error: the dataset is mis-classified and belongs on the masked path, not in reference_data.</w:t>
      </w:r>
    </w:p>
    <w:p>
      <w:pPr>
        <w:spacing w:before="280" w:after="80"/>
        <w:pBdr>
          <w:bottom w:val="single" w:sz="6" w:space="4" w:color="00B4D8"/>
        </w:pBdr>
      </w:pPr>
      <w:r>
        <w:rPr>
          <w:b/>
          <w:color w:val="1B2A4A"/>
          <w:sz w:val="32"/>
        </w:rPr>
        <w:t>7. Schema handling — contract, never auto-evolution</w:t>
      </w:r>
    </w:p>
    <w:p>
      <w:pPr>
        <w:spacing w:after="120"/>
      </w:pPr>
      <w:r>
        <w:rPr>
          <w:b w:val="0"/>
          <w:i w:val="0"/>
          <w:sz w:val="21"/>
        </w:rPr>
        <w:t>The original sketch proposed "auto-override with schema evolution." This HLD rejects auto-evolution for reference data and enforces a schema contract instead (consistent with §22.6: "hard-fail on mismatch; never mergeSchema").</w:t>
      </w:r>
    </w:p>
    <w:p>
      <w:pPr>
        <w:pStyle w:val="ListBullet"/>
        <w:spacing w:after="120"/>
      </w:pPr>
      <w:r>
        <w:rPr>
          <w:b w:val="0"/>
          <w:i w:val="0"/>
          <w:sz w:val="21"/>
        </w:rPr>
        <w:t>The loader validates the extracted file against the registered schema contract (pandera/GE). Mismatch (renamed/reordered/extra/missing columns, type drift) → hard fail, reject, notify owner.</w:t>
      </w:r>
    </w:p>
    <w:p>
      <w:pPr>
        <w:pStyle w:val="ListBullet"/>
        <w:spacing w:after="120"/>
      </w:pPr>
      <w:r>
        <w:rPr>
          <w:b w:val="0"/>
          <w:i w:val="0"/>
          <w:sz w:val="21"/>
        </w:rPr>
        <w:t>A schema change is a deliberate act: the owner updates the contract (reviewed), then the next load passes. Drift is surfaced and approved, never silently absorbed — protecting Gold/consumer tables built on top.</w:t>
      </w:r>
    </w:p>
    <w:p>
      <w:pPr>
        <w:spacing w:before="280" w:after="80"/>
        <w:pBdr>
          <w:bottom w:val="single" w:sz="6" w:space="4" w:color="00B4D8"/>
        </w:pBdr>
      </w:pPr>
      <w:r>
        <w:rPr>
          <w:b/>
          <w:color w:val="1B2A4A"/>
          <w:sz w:val="32"/>
        </w:rPr>
        <w:t>8. Network &amp; security</w:t>
      </w:r>
    </w:p>
    <w:p>
      <w:pPr>
        <w:spacing w:after="120"/>
      </w:pPr>
      <w:r>
        <w:rPr>
          <w:b w:val="0"/>
          <w:i w:val="0"/>
          <w:sz w:val="21"/>
        </w:rPr>
        <w:t>Honours the DAP non-negotiable security primitives (§4):</w:t>
      </w:r>
    </w:p>
    <w:p>
      <w:pPr>
        <w:pStyle w:val="ListBullet"/>
        <w:spacing w:after="120"/>
      </w:pPr>
      <w:r>
        <w:rPr>
          <w:b w:val="0"/>
          <w:i w:val="0"/>
          <w:sz w:val="21"/>
        </w:rPr>
        <w:t>Function App is VNet-integrated (snet-private-endpoints), egress-controlled; Managed Identity → Key Vault for secrets; SPN for Microsoft Graph. No PAT tokens.</w:t>
      </w:r>
    </w:p>
    <w:p>
      <w:pPr>
        <w:pStyle w:val="ListBullet"/>
        <w:spacing w:after="120"/>
      </w:pPr>
      <w:r>
        <w:rPr>
          <w:b w:val="0"/>
          <w:i w:val="0"/>
          <w:sz w:val="21"/>
        </w:rPr>
        <w:t>UC Volumes are ADLS Gen2 reached via Private Endpoints / Private DNS (privatelink.dfs.core.windows.net, privatelink.blob.core.windows.net).</w:t>
      </w:r>
    </w:p>
    <w:p>
      <w:pPr>
        <w:pStyle w:val="ListBullet"/>
        <w:spacing w:after="120"/>
      </w:pPr>
      <w:r>
        <w:rPr>
          <w:b w:val="0"/>
          <w:i w:val="0"/>
          <w:sz w:val="21"/>
        </w:rPr>
        <w:t>Loader job runs as spn-azure-dap-consumption-processing-prd with scoped UC grants — write on reference_data + reference_data_landing, nothing broad.</w:t>
      </w:r>
    </w:p>
    <w:p>
      <w:pPr>
        <w:pStyle w:val="ListBullet"/>
        <w:spacing w:after="120"/>
      </w:pPr>
      <w:r>
        <w:rPr>
          <w:b w:val="0"/>
          <w:i w:val="0"/>
          <w:sz w:val="21"/>
        </w:rPr>
        <w:t>No human read on the quarantine Volume — processing SPN only.</w:t>
      </w:r>
    </w:p>
    <w:p>
      <w:pPr>
        <w:spacing w:before="200" w:after="80"/>
      </w:pPr>
      <w:r>
        <w:rPr>
          <w:b/>
          <w:color w:val="FF6B35"/>
          <w:sz w:val="23"/>
        </w:rPr>
        <w:t>8.1 SharePoint / email egress — deliberate exception (flag)</w:t>
      </w:r>
    </w:p>
    <w:p>
      <w:pPr>
        <w:spacing w:after="120"/>
      </w:pPr>
      <w:r>
        <w:rPr>
          <w:b w:val="0"/>
          <w:i w:val="0"/>
          <w:sz w:val="21"/>
        </w:rPr>
        <w:t>SharePoint Online and mailboxes are internet-fronted via Microsoft Graph; there is no Private Endpoint to them. This is a conscious exception to the zero-public-internet primitive and must be recorded as such:</w:t>
      </w:r>
    </w:p>
    <w:p>
      <w:pPr>
        <w:pStyle w:val="ListBullet"/>
        <w:spacing w:after="120"/>
      </w:pPr>
      <w:r>
        <w:rPr>
          <w:b w:val="0"/>
          <w:i w:val="0"/>
          <w:sz w:val="21"/>
        </w:rPr>
        <w:t>Graph access via a dedicated SPN with least-privilege, scoped application permissions (specific site/drive, not tenant-wide); secrets in Key Vault; egress from the Function App's subnet only.</w:t>
      </w:r>
    </w:p>
    <w:p>
      <w:pPr>
        <w:pStyle w:val="ListBullet"/>
        <w:spacing w:after="120"/>
      </w:pPr>
      <w:r>
        <w:rPr>
          <w:b w:val="0"/>
          <w:i w:val="0"/>
          <w:sz w:val="21"/>
        </w:rPr>
        <w:t>Email-sourced files: prefer a monitored mailbox via Graph or, simplest and most governable, mandate manual upload to the quarantine Volume for genuinely ad-hoc senders.</w:t>
      </w:r>
    </w:p>
    <w:p>
      <w:pPr>
        <w:pStyle w:val="ListBullet"/>
        <w:spacing w:after="120"/>
      </w:pPr>
      <w:r>
        <w:rPr>
          <w:b w:val="0"/>
          <w:i w:val="0"/>
          <w:sz w:val="21"/>
        </w:rPr>
        <w:t>Recommend recording this exception in the policy alongside §22.6.</w:t>
      </w:r>
    </w:p>
    <w:p>
      <w:pPr>
        <w:spacing w:before="280" w:after="80"/>
        <w:pBdr>
          <w:bottom w:val="single" w:sz="6" w:space="4" w:color="00B4D8"/>
        </w:pBdr>
      </w:pPr>
      <w:r>
        <w:rPr>
          <w:b/>
          <w:color w:val="1B2A4A"/>
          <w:sz w:val="32"/>
        </w:rPr>
        <w:t>9. Observability &amp; audit</w:t>
      </w:r>
    </w:p>
    <w:p>
      <w:pPr>
        <w:pStyle w:val="ListBullet"/>
        <w:spacing w:after="120"/>
      </w:pPr>
      <w:r>
        <w:rPr>
          <w:b w:val="0"/>
          <w:i w:val="0"/>
          <w:sz w:val="21"/>
        </w:rPr>
        <w:t>reference_data_load_history (append-only): every attempt — dataset, file SHA-256, row count, outcome (SUCCESS/REJECTED), failure reason, latency, loaded_by_upn.</w:t>
      </w:r>
    </w:p>
    <w:p>
      <w:pPr>
        <w:pStyle w:val="ListBullet"/>
        <w:spacing w:after="120"/>
      </w:pPr>
      <w:r>
        <w:rPr>
          <w:b w:val="0"/>
          <w:i w:val="0"/>
          <w:sz w:val="21"/>
        </w:rPr>
        <w:t>UC system tables: system.access.audit (table writes), system.access.column_lineage (downstream consumers of each reference table).</w:t>
      </w:r>
    </w:p>
    <w:p>
      <w:pPr>
        <w:pStyle w:val="ListBullet"/>
        <w:spacing w:after="120"/>
      </w:pPr>
      <w:r>
        <w:rPr>
          <w:b w:val="0"/>
          <w:i w:val="0"/>
          <w:sz w:val="21"/>
        </w:rPr>
        <w:t>Notifications: owner + steward on REJECT (with reason) and on any schema-contract change.</w:t>
      </w:r>
    </w:p>
    <w:p>
      <w:pPr>
        <w:pStyle w:val="ListBullet"/>
        <w:spacing w:after="120"/>
      </w:pPr>
      <w:r>
        <w:rPr>
          <w:b w:val="0"/>
          <w:i w:val="0"/>
          <w:sz w:val="21"/>
        </w:rPr>
        <w:t>Governance dashboard: surface reference-data freshness (last successful load vs. cadence SLA) and reject rate per dataset (extend DAP_Governance_Dashboard_Queries.sql).</w:t>
      </w:r>
    </w:p>
    <w:p>
      <w:pPr>
        <w:spacing w:before="280" w:after="80"/>
        <w:pBdr>
          <w:bottom w:val="single" w:sz="6" w:space="4" w:color="00B4D8"/>
        </w:pBdr>
      </w:pPr>
      <w:r>
        <w:rPr>
          <w:b/>
          <w:color w:val="1B2A4A"/>
          <w:sz w:val="32"/>
        </w:rPr>
        <w:t>10. End-to-end sequence (happy path + reject)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</w:tblPr>
      <w:tblGrid>
        <w:gridCol w:w="8640"/>
      </w:tblGrid>
      <w:tr>
        <w:tc>
          <w:tcPr>
            <w:tcW w:type="dxa" w:w="8640"/>
            <w:shd w:val="clear" w:color="auto" w:fill="F4F6F8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B2A4A"/>
                <w:sz w:val="17"/>
              </w:rPr>
              <w:t>1.  Schedule/webhook fires Function App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>2.  Function App pulls file (API / Graph / mailbox)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>3.  Function App writes → quarantine Volume /&lt;entity&gt;/&lt;load_date&gt;/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>4.  File-Arrival Trigger fires Loader Job (passes dataset_id)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>5.  Loader reads reference_data_registry[dataset_id]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>6.  Extract (Generic Excel Extractor + JSON config)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>7.  Schema-contract check ──fail──▶ REJECT path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>8.  PII tripwire (Presidio) ──hit──▶ REJECT path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>9.  DQ checks ──────────────fail──▶ REJECT path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>10. PUBLISH: CREATE OR REPLACE prod_catalog.reference_data.&lt;domain&gt;_&lt;entity&gt; (+audit cols)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>11. SNAPSHOT: write immutable annual version per snapshot_policy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>12. REGISTER: load_history(SUCCESS); update registry last-load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>13. NOTIFY: owner of any schema-contract change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>REJECT path: move file → _rejected/ ; load_history(REJECTED, reason) 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A4A"/>
                <w:sz w:val="17"/>
              </w:rPr>
              <w:t xml:space="preserve">             notify owner+steward ; live table + snapshots UNTOUCHED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6" w:space="4" w:color="00B4D8"/>
        </w:pBdr>
      </w:pPr>
      <w:r>
        <w:rPr>
          <w:b/>
          <w:color w:val="1B2A4A"/>
          <w:sz w:val="32"/>
        </w:rPr>
        <w:t>11. Changes from the original sketch (honest review)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1B2A4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Sketch proposed</w:t>
            </w:r>
          </w:p>
        </w:tc>
        <w:tc>
          <w:tcPr>
            <w:tcW w:type="dxa" w:w="2880"/>
            <w:shd w:val="clear" w:color="auto" w:fill="1B2A4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This HLD</w:t>
            </w:r>
          </w:p>
        </w:tc>
        <w:tc>
          <w:tcPr>
            <w:tcW w:type="dxa" w:w="3888"/>
            <w:shd w:val="clear" w:color="auto" w:fill="1B2A4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Schema auto-evolution on overwrite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Schema contract, hard-fail + owner approval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Auto-evolution silently reshapes governed tables; breaks downstream; contradicts §22.6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Create table → scan → drop on fail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Scan in quarantine → publish only if clean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Publish-then-drop lands PII in catalog + Delta history; can't both drop-on-fail and keep version for rollback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Service Bus trigger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Native File-Arrival Trigger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Service Bus is standing machinery for 1–4 events/year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Separate ADLS LZ + UC Volume hop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Land directly in quarantine UC Volume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Removes redundant copy; preserves trust boundary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90-day time-travel for rollback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Annual snapshot + 90-day time-travel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90 days can't reach last year's version for yearly cadence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Per-dataset implied build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Registry/config-driven single loader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This is the actual 2-weeks→hours win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6" w:space="4" w:color="00B4D8"/>
        </w:pBdr>
      </w:pPr>
      <w:r>
        <w:rPr>
          <w:b/>
          <w:color w:val="1B2A4A"/>
          <w:sz w:val="32"/>
        </w:rPr>
        <w:t>12. Risks &amp; mitigations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4320"/>
        <w:gridCol w:w="4320"/>
      </w:tblGrid>
      <w:tr>
        <w:tc>
          <w:tcPr>
            <w:tcW w:type="dxa" w:w="3744"/>
            <w:shd w:val="clear" w:color="auto" w:fill="1B2A4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5760"/>
            <w:shd w:val="clear" w:color="auto" w:fill="1B2A4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SharePoint/Graph egress widens attack surface</w:t>
            </w:r>
          </w:p>
        </w:tc>
        <w:tc>
          <w:tcPr>
            <w:tcW w:type="dxa" w:w="576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Least-privilege scoped SPN, KV secrets, subnet-only egress, policy-recorded exception (§8.1)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Owner ships a genuinely changed schema</w:t>
            </w:r>
          </w:p>
        </w:tc>
        <w:tc>
          <w:tcPr>
            <w:tcW w:type="dxa" w:w="576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Contract-change workflow: update contract (reviewed) → next load passes; change notified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PII slips in undetected (Presidio miss)</w:t>
            </w:r>
          </w:p>
        </w:tc>
        <w:tc>
          <w:tcPr>
            <w:tcW w:type="dxa" w:w="576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Tripwire is a layer, not the only control — eligibility gate (§2.3) + steward sign-off at onboarding; reference schema is non-PII by classification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Snapshot storage growth</w:t>
            </w:r>
          </w:p>
        </w:tc>
        <w:tc>
          <w:tcPr>
            <w:tcW w:type="dxa" w:w="576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Bounded — ≤100k×50, 1–4/year; lifecycle policy on _history if needed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Ad-hoc/email senders bypass governance</w:t>
            </w:r>
          </w:p>
        </w:tc>
        <w:tc>
          <w:tcPr>
            <w:tcW w:type="dxa" w:w="576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Mandate quarantine-Volume upload; no SharePoint/email = no ingest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Quarantine fills with rejects</w:t>
            </w:r>
          </w:p>
        </w:tc>
        <w:tc>
          <w:tcPr>
            <w:tcW w:type="dxa" w:w="576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after="0"/>
            </w:pPr>
            <w:r>
              <w:rPr>
                <w:b w:val="0"/>
                <w:sz w:val="18"/>
              </w:rPr>
              <w:t>TTL/cleanup on _rejected/; reject-rate alert per dataset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6" w:space="4" w:color="00B4D8"/>
        </w:pBdr>
      </w:pPr>
      <w:r>
        <w:rPr>
          <w:b/>
          <w:color w:val="1B2A4A"/>
          <w:sz w:val="32"/>
        </w:rPr>
        <w:t>13. Open items / next deliverables</w:t>
      </w:r>
    </w:p>
    <w:p>
      <w:pPr>
        <w:pStyle w:val="ListNumber"/>
        <w:spacing w:after="60"/>
      </w:pPr>
      <w:r>
        <w:rPr>
          <w:b w:val="0"/>
          <w:sz w:val="21"/>
        </w:rPr>
        <w:t>reference_data_registry schema extension — full DDL (driving columns in §5.2).</w:t>
      </w:r>
    </w:p>
    <w:p>
      <w:pPr>
        <w:pStyle w:val="ListNumber"/>
        <w:spacing w:after="60"/>
      </w:pPr>
      <w:r>
        <w:rPr>
          <w:b w:val="0"/>
          <w:sz w:val="21"/>
        </w:rPr>
        <w:t>Parameterized loader job skeleton — one notebook, config-driven, reusing Generic Excel Extractor.</w:t>
      </w:r>
    </w:p>
    <w:p>
      <w:pPr>
        <w:pStyle w:val="ListNumber"/>
        <w:spacing w:after="60"/>
      </w:pPr>
      <w:r>
        <w:rPr>
          <w:b w:val="0"/>
          <w:sz w:val="21"/>
        </w:rPr>
        <w:t>Architecture + sequence diagrams — Eraser prompt + Mermaid (HD PNG per §8 deliverable pattern).</w:t>
      </w:r>
    </w:p>
    <w:p>
      <w:pPr>
        <w:pStyle w:val="ListNumber"/>
        <w:spacing w:after="60"/>
      </w:pPr>
      <w:r>
        <w:rPr>
          <w:b w:val="0"/>
          <w:sz w:val="21"/>
        </w:rPr>
        <w:t>Policy update — fold this into §22.6 and record the SharePoint/Graph egress exception (§8.1).</w:t>
      </w:r>
    </w:p>
    <w:p>
      <w:pPr>
        <w:pStyle w:val="ListNumber"/>
        <w:spacing w:after="60"/>
      </w:pPr>
      <w:r>
        <w:rPr>
          <w:b w:val="0"/>
          <w:sz w:val="21"/>
        </w:rPr>
        <w:t>Presidio integration — recogniser config + thresholds for the PII tripwire.</w:t>
      </w:r>
    </w:p>
    <w:p>
      <w:pPr>
        <w:spacing w:before="240"/>
      </w:pPr>
      <w:r>
        <w:rPr>
          <w:i/>
          <w:color w:val="555555"/>
          <w:sz w:val="18"/>
        </w:rPr>
        <w:t>End of HLD v0.1 — review the narrative, then registry DDL, loader skeleton, and diagrams follow.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