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12" w:lineRule="auto"/>
        <w:jc w:val="both"/>
      </w:pPr>
      <w:r>
        <w:rPr>
          <w:rFonts w:ascii="맑은 고딕" w:hAnsi="맑은 고딕" w:eastAsia="맑은 고딕" w:cs="맑은 고딕"/>
          <w:b w:val="0"/>
          <w:sz w:val="20"/>
        </w:rPr>
      </w:r>
    </w:p>
    <w:p>
      <w:pPr>
        <w:spacing w:before="0" w:after="40" w:line="312" w:lineRule="auto"/>
        <w:jc w:val="both"/>
      </w:pPr>
      <w:r>
        <w:rPr>
          <w:rFonts w:ascii="맑은 고딕" w:hAnsi="맑은 고딕" w:eastAsia="맑은 고딕" w:cs="맑은 고딕"/>
          <w:b w:val="0"/>
          <w:sz w:val="20"/>
        </w:rPr>
      </w:r>
    </w:p>
    <w:p>
      <w:pPr>
        <w:spacing w:before="0" w:after="80" w:line="312" w:lineRule="auto"/>
        <w:jc w:val="center"/>
      </w:pPr>
      <w:r>
        <w:rPr>
          <w:rFonts w:ascii="맑은 고딕" w:hAnsi="맑은 고딕" w:eastAsia="맑은 고딕" w:cs="맑은 고딕"/>
          <w:b w:val="0"/>
          <w:sz w:val="20"/>
        </w:rPr>
        <w:t>금 [●]원(₩[●])</w:t>
      </w:r>
    </w:p>
    <w:p>
      <w:pPr>
        <w:spacing w:before="120" w:after="120" w:line="312" w:lineRule="auto"/>
        <w:jc w:val="center"/>
      </w:pPr>
      <w:r>
        <w:rPr>
          <w:rFonts w:ascii="맑은 고딕" w:hAnsi="맑은 고딕" w:eastAsia="맑은 고딕" w:cs="맑은 고딕"/>
          <w:b/>
          <w:sz w:val="36"/>
        </w:rPr>
        <w:t>『[●] 담보대출』</w:t>
        <w:br/>
        <w:t>대출약정서</w:t>
      </w:r>
    </w:p>
    <w:p>
      <w:pPr>
        <w:spacing w:before="0" w:after="40" w:line="312" w:lineRule="auto"/>
        <w:jc w:val="both"/>
      </w:pPr>
      <w:r>
        <w:rPr>
          <w:rFonts w:ascii="맑은 고딕" w:hAnsi="맑은 고딕" w:eastAsia="맑은 고딕" w:cs="맑은 고딕"/>
          <w:b w:val="0"/>
          <w:sz w:val="20"/>
        </w:rPr>
      </w:r>
    </w:p>
    <w:p>
      <w:pPr>
        <w:spacing w:before="0" w:after="80" w:line="312" w:lineRule="auto"/>
        <w:jc w:val="center"/>
      </w:pPr>
      <w:r>
        <w:rPr>
          <w:rFonts w:ascii="맑은 고딕" w:hAnsi="맑은 고딕" w:eastAsia="맑은 고딕" w:cs="맑은 고딕"/>
          <w:b w:val="0"/>
          <w:sz w:val="20"/>
        </w:rPr>
        <w:t>[●] 위탁관리부동산투자회사</w:t>
        <w:br/>
        <w:t>- 차주 -</w:t>
      </w:r>
    </w:p>
    <w:p>
      <w:pPr>
        <w:spacing w:before="0" w:after="40" w:line="312" w:lineRule="auto"/>
        <w:jc w:val="both"/>
      </w:pPr>
      <w:r>
        <w:rPr>
          <w:rFonts w:ascii="맑은 고딕" w:hAnsi="맑은 고딕" w:eastAsia="맑은 고딕" w:cs="맑은 고딕"/>
          <w:b w:val="0"/>
          <w:sz w:val="20"/>
        </w:rPr>
      </w:r>
    </w:p>
    <w:p>
      <w:pPr>
        <w:spacing w:before="0" w:after="80" w:line="312" w:lineRule="auto"/>
        <w:jc w:val="center"/>
      </w:pPr>
      <w:r>
        <w:rPr>
          <w:rFonts w:ascii="맑은 고딕" w:hAnsi="맑은 고딕" w:eastAsia="맑은 고딕" w:cs="맑은 고딕"/>
          <w:b w:val="0"/>
          <w:sz w:val="20"/>
        </w:rPr>
        <w:t>별지에 대주로 기재된 금융기관들</w:t>
        <w:br/>
        <w:t>- 대주 -</w:t>
      </w:r>
    </w:p>
    <w:p>
      <w:pPr>
        <w:spacing w:before="0" w:after="40" w:line="312" w:lineRule="auto"/>
        <w:jc w:val="both"/>
      </w:pPr>
      <w:r>
        <w:rPr>
          <w:rFonts w:ascii="맑은 고딕" w:hAnsi="맑은 고딕" w:eastAsia="맑은 고딕" w:cs="맑은 고딕"/>
          <w:b w:val="0"/>
          <w:sz w:val="20"/>
        </w:rPr>
      </w:r>
    </w:p>
    <w:p>
      <w:pPr>
        <w:spacing w:before="0" w:after="80" w:line="312" w:lineRule="auto"/>
        <w:jc w:val="center"/>
      </w:pPr>
      <w:r>
        <w:rPr>
          <w:rFonts w:ascii="맑은 고딕" w:hAnsi="맑은 고딕" w:eastAsia="맑은 고딕" w:cs="맑은 고딕"/>
          <w:b w:val="0"/>
          <w:sz w:val="20"/>
        </w:rPr>
        <w:t>[●]년 [●]월 [●]일</w:t>
      </w:r>
    </w:p>
    <w:p>
      <w:pPr>
        <w:spacing w:before="0" w:after="40" w:line="312" w:lineRule="auto"/>
        <w:jc w:val="both"/>
      </w:pPr>
      <w:r>
        <w:rPr>
          <w:rFonts w:ascii="맑은 고딕" w:hAnsi="맑은 고딕" w:eastAsia="맑은 고딕" w:cs="맑은 고딕"/>
          <w:b w:val="0"/>
          <w:sz w:val="20"/>
        </w:rPr>
      </w:r>
    </w:p>
    <w:p>
      <w:pPr>
        <w:spacing w:before="0" w:after="80" w:line="312" w:lineRule="auto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※ 본 약정서 및 관련 계약서류는 「금융소비자 보호에 관한 법률」 등 관련 법령과 대주별 내부통제기준에 따른 절차를 거쳐 체결된다.</w:t>
      </w:r>
    </w:p>
    <w:p>
      <w:r>
        <w:br w:type="page"/>
      </w:r>
    </w:p>
    <w:p>
      <w:pPr>
        <w:keepNext/>
        <w:spacing w:before="200" w:after="80" w:line="312" w:lineRule="auto"/>
        <w:jc w:val="both"/>
      </w:pPr>
      <w:r>
        <w:rPr>
          <w:rFonts w:ascii="맑은 고딕" w:hAnsi="맑은 고딕" w:eastAsia="맑은 고딕" w:cs="맑은 고딕"/>
          <w:b/>
          <w:sz w:val="22"/>
        </w:rPr>
        <w:t>목  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2268"/>
        <w:gridCol w:w="5669"/>
      </w:tblGrid>
      <w:tr>
        <w:tc>
          <w:tcPr>
            <w:tcW w:type="dxa" w:w="1361"/>
            <w:vAlign w:val="center"/>
            <w:shd w:val="clear" w:color="auto" w:fill="D9E2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조</w:t>
            </w:r>
          </w:p>
        </w:tc>
        <w:tc>
          <w:tcPr>
            <w:tcW w:type="dxa" w:w="2268"/>
            <w:vAlign w:val="center"/>
            <w:shd w:val="clear" w:color="auto" w:fill="D9E2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제목</w:t>
            </w:r>
          </w:p>
        </w:tc>
        <w:tc>
          <w:tcPr>
            <w:tcW w:type="dxa" w:w="5669"/>
            <w:vAlign w:val="center"/>
            <w:shd w:val="clear" w:color="auto" w:fill="D9E2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주요 항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제1조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정의</w:t>
            </w:r>
          </w:p>
        </w:tc>
        <w:tc>
          <w:tcPr>
            <w:tcW w:type="dxa" w:w="5669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정의, 참조사항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제2조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차입목적</w:t>
            </w:r>
          </w:p>
        </w:tc>
        <w:tc>
          <w:tcPr>
            <w:tcW w:type="dxa" w:w="5669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-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제3조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대출약정</w:t>
            </w:r>
          </w:p>
        </w:tc>
        <w:tc>
          <w:tcPr>
            <w:tcW w:type="dxa" w:w="5669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대출약정금, Tranche A·B, 대주별 약정금, 개별책임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제4조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대출실행과 인출</w:t>
            </w:r>
          </w:p>
        </w:tc>
        <w:tc>
          <w:tcPr>
            <w:tcW w:type="dxa" w:w="5669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인출, 인출선행조건, 공통조건, 실효, 동시이행·후행조건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제5조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이자</w:t>
            </w:r>
          </w:p>
        </w:tc>
        <w:tc>
          <w:tcPr>
            <w:tcW w:type="dxa" w:w="5669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이자율, 이자기간, 연체이자, 이자지급일, 계산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제6조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수수료 및 비용</w:t>
            </w:r>
          </w:p>
        </w:tc>
        <w:tc>
          <w:tcPr>
            <w:tcW w:type="dxa" w:w="5669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수수료, 비용, 지급지연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제7조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상환 및 변제의 충당</w:t>
            </w:r>
          </w:p>
        </w:tc>
        <w:tc>
          <w:tcPr>
            <w:tcW w:type="dxa" w:w="5669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만기상환, 임의·의무 조기상환, 변제충당, 지급방법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제8조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자금의 관리</w:t>
            </w:r>
          </w:p>
        </w:tc>
        <w:tc>
          <w:tcPr>
            <w:tcW w:type="dxa" w:w="5669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대출금입금·수입금·운영·이자유보·보험금수령·보증금 계좌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제9조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담보의 제공</w:t>
            </w:r>
          </w:p>
        </w:tc>
        <w:tc>
          <w:tcPr>
            <w:tcW w:type="dxa" w:w="5669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담보신탁 우선수익권, 보험 근질권, 예금 근질권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제10조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차주의 진술 및 보장</w:t>
            </w:r>
          </w:p>
        </w:tc>
        <w:tc>
          <w:tcPr>
            <w:tcW w:type="dxa" w:w="5669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법인격, 법령 준수, 채무불이행 부존재 등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제11조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준수사항</w:t>
            </w:r>
          </w:p>
        </w:tc>
        <w:tc>
          <w:tcPr>
            <w:tcW w:type="dxa" w:w="5669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보고, 재무제표, 추가차입 금지, 이자지급력지수, 리파이낸싱 등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제12조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기한의 이익 상실</w:t>
            </w:r>
          </w:p>
        </w:tc>
        <w:tc>
          <w:tcPr>
            <w:tcW w:type="dxa" w:w="5669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사유, 효과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제13조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대주의 의사결정</w:t>
            </w:r>
          </w:p>
        </w:tc>
        <w:tc>
          <w:tcPr>
            <w:tcW w:type="dxa" w:w="5669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다수대주, 전원동의 사항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제14조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통지</w:t>
            </w:r>
          </w:p>
        </w:tc>
        <w:tc>
          <w:tcPr>
            <w:tcW w:type="dxa" w:w="5669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-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제15조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기타</w:t>
            </w:r>
          </w:p>
        </w:tc>
        <w:tc>
          <w:tcPr>
            <w:tcW w:type="dxa" w:w="5669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완전합의, 양도, 비밀유지, 준거법·관할 등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별지·부록·별첨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대주목록, 인출조건서류, 부동산·임대차 목록, 통지처, 인출요청서</w:t>
            </w:r>
          </w:p>
        </w:tc>
        <w:tc>
          <w:tcPr>
            <w:tcW w:type="dxa" w:w="5669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</w:r>
          </w:p>
        </w:tc>
      </w:tr>
    </w:tbl>
    <w:p>
      <w:pPr>
        <w:spacing w:before="0" w:after="40" w:line="312" w:lineRule="auto"/>
        <w:jc w:val="both"/>
      </w:pPr>
      <w:r>
        <w:rPr>
          <w:rFonts w:ascii="맑은 고딕" w:hAnsi="맑은 고딕" w:eastAsia="맑은 고딕" w:cs="맑은 고딕"/>
          <w:b w:val="0"/>
          <w:sz w:val="20"/>
        </w:rPr>
      </w:r>
    </w:p>
    <w:p>
      <w:r>
        <w:br w:type="page"/>
      </w:r>
    </w:p>
    <w:p>
      <w:pPr>
        <w:spacing w:before="0" w:after="80" w:line="312" w:lineRule="auto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[●] 위탁관리부동산투자회사(이하 "차주")와 별지에 대주로 기재된 금융기관들(이하 개별적으로 "대주", 총칭하여 "대주들")은 다음과 같이 대출약정을 체결한다.</w:t>
      </w:r>
    </w:p>
    <w:p>
      <w:pPr>
        <w:keepNext/>
        <w:spacing w:before="200" w:after="80" w:line="312" w:lineRule="auto"/>
        <w:jc w:val="both"/>
      </w:pPr>
      <w:r>
        <w:rPr>
          <w:rFonts w:ascii="맑은 고딕" w:hAnsi="맑은 고딕" w:eastAsia="맑은 고딕" w:cs="맑은 고딕"/>
          <w:b/>
          <w:sz w:val="22"/>
        </w:rPr>
        <w:t>제1조  정의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① 정의: 본 약정에서 사용하는 용어의 뜻은 다음과 같다.</w:t>
      </w:r>
    </w:p>
    <w:p>
      <w:pPr>
        <w:spacing w:before="0" w:after="40" w:line="312" w:lineRule="auto"/>
        <w:ind w:left="85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1. "거래종결일": 본건 매매계약에 따라 차주가 본건 부동산의 매매대금을 지급하는 날</w:t>
      </w:r>
    </w:p>
    <w:p>
      <w:pPr>
        <w:spacing w:before="0" w:after="40" w:line="312" w:lineRule="auto"/>
        <w:ind w:left="85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2. "기준금리": 각 이자기간 개시일 [●]영업일 전 [금융투자협회가 공시하는 91일물 CD 수익률]</w:t>
      </w:r>
    </w:p>
    <w:p>
      <w:pPr>
        <w:spacing w:before="0" w:after="40" w:line="312" w:lineRule="auto"/>
        <w:ind w:left="85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3. "금융계약서": 본 약정, 담보계약, 수수료약정 및 그 밖에 본 약정과 관련하여 체결되는 계약·서류</w:t>
      </w:r>
    </w:p>
    <w:p>
      <w:pPr>
        <w:spacing w:before="0" w:after="40" w:line="312" w:lineRule="auto"/>
        <w:ind w:left="85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4. "담보신탁계약": 본건 부동산에 관하여 차주(위탁자)와 수탁자 사이에 체결되는 부동산담보신탁계약</w:t>
      </w:r>
    </w:p>
    <w:p>
      <w:pPr>
        <w:spacing w:before="0" w:after="40" w:line="312" w:lineRule="auto"/>
        <w:ind w:left="85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5. "대출금": 본 약정에 따라 인출되어 상환되지 아니한 원금 잔액</w:t>
      </w:r>
    </w:p>
    <w:p>
      <w:pPr>
        <w:spacing w:before="0" w:after="40" w:line="312" w:lineRule="auto"/>
        <w:ind w:left="85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6. "대출약정금": 각 대주가 제3조에 따라 대출하기로 약정한 금액(별지 기재)</w:t>
      </w:r>
    </w:p>
    <w:p>
      <w:pPr>
        <w:spacing w:before="0" w:after="40" w:line="312" w:lineRule="auto"/>
        <w:ind w:left="85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7. "다수대주": 대출금(인출 전에는 대출약정금) 합계액의 [●]% 이상을 보유한 대주들</w:t>
      </w:r>
    </w:p>
    <w:p>
      <w:pPr>
        <w:spacing w:before="0" w:after="40" w:line="312" w:lineRule="auto"/>
        <w:ind w:left="85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8. "만기일": 최초 인출일부터 [●]개월이 되는 날</w:t>
      </w:r>
    </w:p>
    <w:p>
      <w:pPr>
        <w:spacing w:before="0" w:after="40" w:line="312" w:lineRule="auto"/>
        <w:ind w:left="85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9. "본건 부동산": 부록 3에 기재된 토지 및 건물</w:t>
      </w:r>
    </w:p>
    <w:p>
      <w:pPr>
        <w:spacing w:before="0" w:after="40" w:line="312" w:lineRule="auto"/>
        <w:ind w:left="85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10. "본건 매매계약": 본건 부동산에 관하여 차주(매수인)와 매도인 사이에 체결된 부동산매매계약</w:t>
      </w:r>
    </w:p>
    <w:p>
      <w:pPr>
        <w:spacing w:before="0" w:after="40" w:line="312" w:lineRule="auto"/>
        <w:ind w:left="85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11. "영업일": 서울에서 은행이 영업하는 날</w:t>
      </w:r>
    </w:p>
    <w:p>
      <w:pPr>
        <w:spacing w:before="0" w:after="40" w:line="312" w:lineRule="auto"/>
        <w:ind w:left="85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12. "이자기간": 인출일(또는 직전 이자지급일)부터 다음 이자지급일 전일까지의 기간</w:t>
      </w:r>
    </w:p>
    <w:p>
      <w:pPr>
        <w:spacing w:before="0" w:after="40" w:line="312" w:lineRule="auto"/>
        <w:ind w:left="85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13. "이자지급력지수": 평가기간의 [순영업수익(NOI)] ÷ 같은 기간 대출금 이자의 합계액</w:t>
      </w:r>
    </w:p>
    <w:p>
      <w:pPr>
        <w:spacing w:before="0" w:after="40" w:line="312" w:lineRule="auto"/>
        <w:ind w:left="85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14. "인출가능기간": 본 약정 체결일부터 [●]개월이 되는 날까지의 기간</w:t>
      </w:r>
    </w:p>
    <w:p>
      <w:pPr>
        <w:spacing w:before="0" w:after="40" w:line="312" w:lineRule="auto"/>
        <w:ind w:left="85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15. "중대한 부정적 영향": 차주의 사업·재무상태, 금융계약상 의무 이행능력 또는 담보의 가치·효력에 중대하게 불리한 영향</w:t>
      </w:r>
    </w:p>
    <w:p>
      <w:pPr>
        <w:spacing w:before="0" w:after="40" w:line="312" w:lineRule="auto"/>
        <w:ind w:left="85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16. "허용된 부담": 임대차계약에 따른 임차권, 임차인 보증금 반환채권을 위한 담보 등 대주들이 서면으로 허용한 부담</w:t>
      </w:r>
    </w:p>
    <w:p>
      <w:pPr>
        <w:spacing w:before="0" w:after="40" w:line="312" w:lineRule="auto"/>
        <w:ind w:left="85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17. "Tranche A" / "Tranche B": 상환·담보순위가 앞서는 선순위 대출 / 그 다음 순위의 중순위 대출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② 참조사항: 본 약정에서 계약·법령을 언급하는 경우 변경된 것을 포함하며, 조·항 표시는 본 약정의 조·항을 말한다.</w:t>
      </w:r>
    </w:p>
    <w:p>
      <w:pPr>
        <w:keepNext/>
        <w:spacing w:before="200" w:after="80" w:line="312" w:lineRule="auto"/>
        <w:jc w:val="both"/>
      </w:pPr>
      <w:r>
        <w:rPr>
          <w:rFonts w:ascii="맑은 고딕" w:hAnsi="맑은 고딕" w:eastAsia="맑은 고딕" w:cs="맑은 고딕"/>
          <w:b/>
          <w:sz w:val="22"/>
        </w:rPr>
        <w:t>제2조  차입목적</w:t>
      </w:r>
    </w:p>
    <w:p>
      <w:pPr>
        <w:spacing w:before="0" w:after="80" w:line="312" w:lineRule="auto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차주는 대출금을 (i) 본건 매매계약에 따른 매매대금 지급, (ii) 취득부대비용 및 (iii) 이자유보금 적립에만 사용하여야 한다.</w:t>
      </w:r>
    </w:p>
    <w:p>
      <w:pPr>
        <w:keepNext/>
        <w:spacing w:before="200" w:after="80" w:line="312" w:lineRule="auto"/>
        <w:jc w:val="both"/>
      </w:pPr>
      <w:r>
        <w:rPr>
          <w:rFonts w:ascii="맑은 고딕" w:hAnsi="맑은 고딕" w:eastAsia="맑은 고딕" w:cs="맑은 고딕"/>
          <w:b/>
          <w:sz w:val="22"/>
        </w:rPr>
        <w:t>제3조  대출약정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① 대출약정금: 대주들의 대출약정금 합계는 금 [●]원으로 한다.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② Tranche A 대출약정: Tranche A 대주들은 금 [●]원을 한도로 대출한다. [고정금리(A-1)와 변동금리(A-2)로 구분할 수 있다.]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③ Tranche B 대출약정: Tranche B 대주들은 금 [●]원을 한도로 대출한다.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④ 대주별 대출약정금: 각 대주의 대출약정금은 별지와 같다.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⑤ 개별책임: 각 대주의 의무는 개별적이며, 어느 대주가 의무를 이행하지 않더라도 다른 대주는 그에 대하여 책임을 지지 않는다. [대출을 실행하지 아니한 대주는 그로 인하여 차주 및 다른 대주에게 발생한 손해를 배상한다.]</w:t>
      </w:r>
    </w:p>
    <w:p>
      <w:pPr>
        <w:keepNext/>
        <w:spacing w:before="200" w:after="80" w:line="312" w:lineRule="auto"/>
        <w:jc w:val="both"/>
      </w:pPr>
      <w:r>
        <w:rPr>
          <w:rFonts w:ascii="맑은 고딕" w:hAnsi="맑은 고딕" w:eastAsia="맑은 고딕" w:cs="맑은 고딕"/>
          <w:b/>
          <w:sz w:val="22"/>
        </w:rPr>
        <w:t>제4조  대출실행과 대출약정금의 인출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① 인출: 차주는 인출가능기간 내에 인출예정일 [●]영업일 전까지 별첨 가 양식의 인출요청서를 제출하여 대출약정금 전액을 [1회에 일시] 인출한다.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② 인출선행조건: 대주들의 대출 의무는 부록 1의 서류가 대주들에게 만족스러운 형식과 내용으로 제출되는 것을 조건으로 한다.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③ 인출의 공통조건: 인출일 현재 (i) 기한의 이익 상실 사유 또는 그 우려가 있는 사유가 없고, (ii) 차주의 진술 및 보장이 진실하며, (iii) 중대한 부정적 영향이 발생하지 않았을 것.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④ 대출약정의 실효: 인출가능기간 내에 인출되지 않은 대출약정금은 그 기간 만료일에 소멸한다.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⑤ 인출동시이행조건 및 인출후행조건: 차주는 부록 2의 서류를 인출과 동시에 또는 인출일 후 정해진 기한 내에 제출한다.</w:t>
      </w:r>
    </w:p>
    <w:p>
      <w:pPr>
        <w:keepNext/>
        <w:spacing w:before="200" w:after="80" w:line="312" w:lineRule="auto"/>
        <w:jc w:val="both"/>
      </w:pPr>
      <w:r>
        <w:rPr>
          <w:rFonts w:ascii="맑은 고딕" w:hAnsi="맑은 고딕" w:eastAsia="맑은 고딕" w:cs="맑은 고딕"/>
          <w:b/>
          <w:sz w:val="22"/>
        </w:rPr>
        <w:t>제5조  이자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① 이자율 및 이자지급: 대출금의 이자율은 별지의 Tranche별 이자율로 하고, 차주는 각 이자지급일에 해당 이자기간의 이자를 후취로 지급한다.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② 이자기간: [3]개월로 하되, 최종 이자기간은 만기일에 종료한다.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③ 연체이자: 지급기일에 지급하지 아니한 금액에 대하여는 해당 이자율에 연 [●]%를 더한 연체이자율(법정 최고이자율 이내)을 적용한다.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④ 이자지급일: 최초 인출일부터 매 [3]개월이 되는 날 및 만기일. 영업일이 아닌 경우 다음 영업일로 한다.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⑤ 이자의 계산: 1년을 365일로 보고 실제 경과일수에 따라 일할 계산한다.</w:t>
      </w:r>
    </w:p>
    <w:p>
      <w:pPr>
        <w:keepNext/>
        <w:spacing w:before="200" w:after="80" w:line="312" w:lineRule="auto"/>
        <w:jc w:val="both"/>
      </w:pPr>
      <w:r>
        <w:rPr>
          <w:rFonts w:ascii="맑은 고딕" w:hAnsi="맑은 고딕" w:eastAsia="맑은 고딕" w:cs="맑은 고딕"/>
          <w:b/>
          <w:sz w:val="22"/>
        </w:rPr>
        <w:t>제6조  수수료 및 비용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① 수수료: 차주는 별도로 체결하는 수수료약정서에 따라 취급수수료 등을 지급한다.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② 비용: 차주는 금융계약서의 작성·체결·등기·집행 및 변경에 드는 비용(법률자문 비용 포함)을 부담한다.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③ 지급의 지연: 수수료 또는 비용의 지급이 지연되는 경우 제5조 제3항의 연체이자율을 적용한다.</w:t>
      </w:r>
    </w:p>
    <w:p>
      <w:pPr>
        <w:keepNext/>
        <w:spacing w:before="200" w:after="80" w:line="312" w:lineRule="auto"/>
        <w:jc w:val="both"/>
      </w:pPr>
      <w:r>
        <w:rPr>
          <w:rFonts w:ascii="맑은 고딕" w:hAnsi="맑은 고딕" w:eastAsia="맑은 고딕" w:cs="맑은 고딕"/>
          <w:b/>
          <w:sz w:val="22"/>
        </w:rPr>
        <w:t>제7조  상환 및 변제의 충당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① 원금의 상환: 차주는 대출금 전액을 만기일에 일시 상환한다.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② 임의적 조기상환: 차주는 [●]영업일 전 서면 통지 후 이자지급일에 대출금의 전부 또는 일부를 조기상환할 수 있다. 최초 인출일부터 [●]개월 이내 상환 시 상환원금의 [●]%를 조기상환수수료로 지급한다. [리파이낸싱에 참여하는 대주의 대출금 상환분에는 수수료를 적용하지 않는다.] 상환한 금액은 다시 차입할 수 없다.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③ 의무적 조기상환: 차주는 (i) 본건 부동산의 매각, (ii) 보험금 수령(복구에 사용하는 경우 제외), (iii) 수용보상금 수령 시 그 금액으로 대출금을 조기상환한다(조기상환수수료 없음).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④ 변제의 충당: 차주가 지급한 금액은 다음 순서로 충당한다.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 xml:space="preserve">   (1) 정상 시: 비용 → 수수료 → 연체이자 → 이자 → 원금 순으로 충당하되, 각 항목별로 Tranche A와 Tranche B에 [대출금 비율로 안분]한다.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 xml:space="preserve">   (2) 기한의 이익 상실 시: 채권회수 비용 → 그 밖에 대주들에게 지급할 금액 → Tranche A 연체이자·이자·원금 → Tranche B 연체이자·이자·원금 순으로 충당한다.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⑤ 대출약정의 종료: 금융계약서상 채무가 모두 변제된 때 본 약정은 종료한다.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⑥ 영업일: 지급일이 영업일이 아닌 경우 다음 영업일에 지급한다.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⑦ 지급방법: 차주의 모든 지급은 지급일 [오전 11시]까지 각 대주가 지정한 계좌로 상계·공제 없이 한다.</w:t>
      </w:r>
    </w:p>
    <w:p>
      <w:pPr>
        <w:keepNext/>
        <w:spacing w:before="200" w:after="80" w:line="312" w:lineRule="auto"/>
        <w:jc w:val="both"/>
      </w:pPr>
      <w:r>
        <w:rPr>
          <w:rFonts w:ascii="맑은 고딕" w:hAnsi="맑은 고딕" w:eastAsia="맑은 고딕" w:cs="맑은 고딕"/>
          <w:b/>
          <w:sz w:val="22"/>
        </w:rPr>
        <w:t>제8조  자금의 관리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① 계좌의 개설: 차주는 다음 계좌를 [대주가 지정하는 금융기관]에 개설하고, 대주들의 사전 동의 없이 해지·변경하지 않는다.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3515"/>
        <w:gridCol w:w="3855"/>
      </w:tblGrid>
      <w:tr>
        <w:tc>
          <w:tcPr>
            <w:tcW w:type="dxa" w:w="1928"/>
            <w:vAlign w:val="center"/>
            <w:shd w:val="clear" w:color="auto" w:fill="D9E2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계좌</w:t>
            </w:r>
          </w:p>
        </w:tc>
        <w:tc>
          <w:tcPr>
            <w:tcW w:type="dxa" w:w="3515"/>
            <w:vAlign w:val="center"/>
            <w:shd w:val="clear" w:color="auto" w:fill="D9E2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용도</w:t>
            </w:r>
          </w:p>
        </w:tc>
        <w:tc>
          <w:tcPr>
            <w:tcW w:type="dxa" w:w="3855"/>
            <w:vAlign w:val="center"/>
            <w:shd w:val="clear" w:color="auto" w:fill="D9E2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인출 제한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대출금입금계좌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대출금 수령 및 매매대금 지급</w:t>
            </w:r>
          </w:p>
        </w:tc>
        <w:tc>
          <w:tcPr>
            <w:tcW w:type="dxa" w:w="385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매매대금·부대비용 지급에 한함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수입금계좌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임대료·관리비 등 모든 수입 입금</w:t>
            </w:r>
          </w:p>
        </w:tc>
        <w:tc>
          <w:tcPr>
            <w:tcW w:type="dxa" w:w="385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정해진 순서에 따라 운영계좌·이자유보계좌로 이체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운영계좌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운영비용·제세공과금 지급</w:t>
            </w:r>
          </w:p>
        </w:tc>
        <w:tc>
          <w:tcPr>
            <w:tcW w:type="dxa" w:w="385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예산 범위 내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이자유보계좌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[●]개월분 이자 상당액 유보</w:t>
            </w:r>
          </w:p>
        </w:tc>
        <w:tc>
          <w:tcPr>
            <w:tcW w:type="dxa" w:w="385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대주 동의 시 또는 이자 부족 시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보험금수령계좌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보험금 수령</w:t>
            </w:r>
          </w:p>
        </w:tc>
        <w:tc>
          <w:tcPr>
            <w:tcW w:type="dxa" w:w="385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복구비용 지급 또는 의무 조기상환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임대차보증금계좌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임차인 보증금 예치(질권 대상일 수 있음)</w:t>
            </w:r>
          </w:p>
        </w:tc>
        <w:tc>
          <w:tcPr>
            <w:tcW w:type="dxa" w:w="385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임대차계약 및 질권설정계약에 따름</w:t>
            </w:r>
          </w:p>
        </w:tc>
      </w:tr>
    </w:tbl>
    <w:p>
      <w:pPr>
        <w:spacing w:before="0" w:after="40" w:line="312" w:lineRule="auto"/>
        <w:jc w:val="both"/>
      </w:pPr>
      <w:r>
        <w:rPr>
          <w:rFonts w:ascii="맑은 고딕" w:hAnsi="맑은 고딕" w:eastAsia="맑은 고딕" w:cs="맑은 고딕"/>
          <w:b w:val="0"/>
          <w:sz w:val="20"/>
        </w:rPr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② 수납관리의무: 차주는 모든 임차인에게 임대료 등을 수입금계좌로만 지급하도록 통지한다.</w:t>
      </w:r>
    </w:p>
    <w:p>
      <w:pPr>
        <w:keepNext/>
        <w:spacing w:before="200" w:after="80" w:line="312" w:lineRule="auto"/>
        <w:jc w:val="both"/>
      </w:pPr>
      <w:r>
        <w:rPr>
          <w:rFonts w:ascii="맑은 고딕" w:hAnsi="맑은 고딕" w:eastAsia="맑은 고딕" w:cs="맑은 고딕"/>
          <w:b/>
          <w:sz w:val="22"/>
        </w:rPr>
        <w:t>제9조  담보의 제공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① 담보신탁 우선수익권: 차주는 본건 부동산을 수탁자에게 담보신탁하고, Tranche A 대주들을 공동 [●]순위, Tranche B 대주들을 공동 [●]순위 우선수익자로 지정한다. 우선수익권 금액은 각 대출약정금의 [●]%로 한다. [보증금 반환채권을 위하여 임차인이 선순위 우선수익자로 지정될 수 있다.]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② 보험에 대한 근질권: 차주는 재산종합보험 등의 보험금청구권에 Tranche A 공동 [●]순위, Tranche B 공동 [●]순위 근질권을 설정한다.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③ 예금채권에 대한 근질권: 차주는 제8조의 계좌(임차인 보증금계좌 제외)에 대한 예금채권에 같은 순위로 근질권을 설정한다.</w:t>
      </w:r>
    </w:p>
    <w:p>
      <w:pPr>
        <w:keepNext/>
        <w:spacing w:before="200" w:after="80" w:line="312" w:lineRule="auto"/>
        <w:jc w:val="both"/>
      </w:pPr>
      <w:r>
        <w:rPr>
          <w:rFonts w:ascii="맑은 고딕" w:hAnsi="맑은 고딕" w:eastAsia="맑은 고딕" w:cs="맑은 고딕"/>
          <w:b/>
          <w:sz w:val="22"/>
        </w:rPr>
        <w:t>제10조  차주의 진술 및 보장</w:t>
      </w:r>
    </w:p>
    <w:p>
      <w:pPr>
        <w:spacing w:before="0" w:after="80" w:line="312" w:lineRule="auto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차주는 본 약정 체결일 및 인출일 현재 다음을 진술하고 보장한다.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① 법인격: 차주는 관련 법령에 따라 적법하게 설립·존속하며, [영업인가 또는 등록]을 받았다.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② 법과 기타 약정의 준수: 금융계약서의 체결·이행은 법령, 정관 및 차주가 당사자인 계약에 위반되지 않는다.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③ 채무불이행의 부존재: 기한의 이익 상실 사유 또는 그 우려가 있는 사유가 없다.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④ 법령의 준수: 차주는 적용 법령을 중요한 면에서 준수하고 있다.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⑤ 담보: 담보계약은 적법·유효하며, 허용된 부담 외에 선순위 또는 동순위 담보가 없다.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⑥ 법적 조치: 금융계약서의 효력에 필요한 등기·신고 등 조치가 완료되었거나 완료될 것이다.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⑦ 소송: 중대한 부정적 영향을 줄 수 있는 소송·행정절차가 없다.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⑧ 정보의 정확성: 차주가 제공한 정보는 중요한 면에서 진실하고 정확하다.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⑨ 청산·도산절차의 부재: 해산·청산·회생·파산 절차가 진행 중이거나 신청되지 않았다.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⑩ 우발채무 등의 부존재: 금융계약서 및 본건 매매계약 외의 차입·보증·우발채무가 없다.</w:t>
      </w:r>
    </w:p>
    <w:p>
      <w:pPr>
        <w:keepNext/>
        <w:spacing w:before="200" w:after="80" w:line="312" w:lineRule="auto"/>
        <w:jc w:val="both"/>
      </w:pPr>
      <w:r>
        <w:rPr>
          <w:rFonts w:ascii="맑은 고딕" w:hAnsi="맑은 고딕" w:eastAsia="맑은 고딕" w:cs="맑은 고딕"/>
          <w:b/>
          <w:sz w:val="22"/>
        </w:rPr>
        <w:t>제11조  준수사항</w:t>
      </w:r>
    </w:p>
    <w:p>
      <w:pPr>
        <w:spacing w:before="0" w:after="80" w:line="312" w:lineRule="auto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차주는 금융계약서상 채무가 모두 변제될 때까지 다음 사항을 준수한다.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① 신고사항: 정관, 임원, 주요 계약의 변경 등 대주가 정하는 사항을 지체 없이 신고한다.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② 재무제표: 결산일부터 [●]일 이내에 감사보고서를, 분기 종료일부터 [●]일 이내에 분기 재무제표와 임대차 현황을 제출한다.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③ 정부인허가의 유지: 사업에 필요한 인가·등록·허가를 유지한다.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④ 본건 부동산의 매각: 대출금 전액을 상환할 수 있는 경우를 제외하고 다수대주의 동의 없이 본건 부동산을 매각하지 않는다.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⑤ 추가 서류 및 조치: 담보의 유지에 필요한 서류를 제출하고 조치를 취한다.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⑥ 임대차계약 관련 담보: 신규 임대차에 따른 담보권은 대주들보다 후순위로 하며, 차주 명의 보증금계좌에 대한 질권은 예외로 한다.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⑦ 추가차입 금지: 금융계약서에 따른 채무 및 [허용된 채무] 외에 차입·보증·담보제공을 하지 않는다.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⑧ 사업의 유지: 정관에 정한 목적 외의 사업을 하지 않고, 합병·분할·영업양도를 하지 않는다.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⑨ 제세공과금: 납부기한 내에 제세공과금을 납부한다.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⑩ 통지: 기한의 이익 상실 사유, 소송, 중대한 임대차 변경 등이 발생하면 지체 없이 통지한다.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⑪ 진술과 보장: 진술 및 보장이 이자지급일마다 진실하도록 유지한다.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⑫ 보험: 재산종합보험 등 대주가 요구하는 보험에 가입·유지하고, 대주를 근질권자 또는 공동피보험자로 지정한다.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⑬ 지배구조 변경: 자산관리회사의 교체 또는 [주요 주주 구성의 변경]은 다수대주의 사전 동의를 받는다.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⑭ 자금의 사용: 대출금을 제2조의 목적에만 사용한다.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⑮ 계약변경 등의 금지: 본건 매매계약, 주요 임대차계약, 자산관리위탁계약을 다수대주의 동의 없이 변경·해지하지 않는다.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⑯ 중대한 부정적 영향 초래행위 금지: 담보가치를 훼손하거나 중대한 부정적 영향을 초래할 수 있는 행위를 하지 않는다.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⑰ 이자지급력지수 유지: 각 평가일 현재 이자지급력지수를 [●]배 이상으로 유지한다. 미달 시 [●]영업일 이내에 [●]개월분 이자를 이자유보계좌에 추가 적립하며, 지수가 회복되면 추가 적립의무는 해소된다.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⑱ 리파이낸싱: 만기일 [●]개월 전까지 리파이낸싱 계획을 제출하고, 대출금 상환을 위한 리파이낸싱 절차를 성실히 진행한다.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⑲ 배당의 제한: [Tranche B 기준 이자지급력지수가 [●]배 미만인 경우] 보통주 배당을 하지 않는다.</w:t>
      </w:r>
    </w:p>
    <w:p>
      <w:pPr>
        <w:keepNext/>
        <w:spacing w:before="200" w:after="80" w:line="312" w:lineRule="auto"/>
        <w:jc w:val="both"/>
      </w:pPr>
      <w:r>
        <w:rPr>
          <w:rFonts w:ascii="맑은 고딕" w:hAnsi="맑은 고딕" w:eastAsia="맑은 고딕" w:cs="맑은 고딕"/>
          <w:b/>
          <w:sz w:val="22"/>
        </w:rPr>
        <w:t>제12조  기한의 이익 상실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① 기한의 이익 상실 사유: 다음 사유가 발생하면 대주들은 [다수대주의 결정에 따라] 차주에 대한 통지로 대출금의 기한의 이익을 상실시킬 수 있다.</w:t>
      </w:r>
    </w:p>
    <w:p>
      <w:pPr>
        <w:spacing w:before="0" w:after="40" w:line="312" w:lineRule="auto"/>
        <w:ind w:left="85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(1) 원리금 또는 수수료를 지급기일에 지급하지 않은 경우(단, 기술적 사유로 [●]영업일 이내 지급된 경우 제외)</w:t>
      </w:r>
    </w:p>
    <w:p>
      <w:pPr>
        <w:spacing w:before="0" w:after="40" w:line="312" w:lineRule="auto"/>
        <w:ind w:left="85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(2) 진술 및 보장이 중요한 점에서 사실과 다른 것으로 밝혀진 경우</w:t>
      </w:r>
    </w:p>
    <w:p>
      <w:pPr>
        <w:spacing w:before="0" w:after="40" w:line="312" w:lineRule="auto"/>
        <w:ind w:left="85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(3) 제11조의 준수사항을 위반하고 대주의 시정 요구일부터 [●]영업일 이내에 시정하지 않은 경우</w:t>
      </w:r>
    </w:p>
    <w:p>
      <w:pPr>
        <w:spacing w:before="0" w:after="40" w:line="312" w:lineRule="auto"/>
        <w:ind w:left="85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(4) 차주에 대하여 회생·파산 절차 개시 신청이 있거나 해산 결의가 있는 경우</w:t>
      </w:r>
    </w:p>
    <w:p>
      <w:pPr>
        <w:spacing w:before="0" w:after="40" w:line="312" w:lineRule="auto"/>
        <w:ind w:left="85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(5) 차주의 다른 채무에 관하여 기한의 이익이 상실되거나 강제집행·가압류가 있는 경우</w:t>
      </w:r>
    </w:p>
    <w:p>
      <w:pPr>
        <w:spacing w:before="0" w:after="40" w:line="312" w:lineRule="auto"/>
        <w:ind w:left="85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(6) 담보가 무효로 되거나 담보가치가 현저히 감소하고 보강되지 않는 경우</w:t>
      </w:r>
    </w:p>
    <w:p>
      <w:pPr>
        <w:spacing w:before="0" w:after="40" w:line="312" w:lineRule="auto"/>
        <w:ind w:left="85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(7) [영업인가 취소 등] 사업 수행에 필요한 인허가가 취소된 경우</w:t>
      </w:r>
    </w:p>
    <w:p>
      <w:pPr>
        <w:spacing w:before="0" w:after="40" w:line="312" w:lineRule="auto"/>
        <w:ind w:left="85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(8) 그 밖에 중대한 부정적 영향이 발생한 경우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② 효과: 기한의 이익이 상실되면 대출금, 이자 및 그 밖의 채무는 즉시 지급기일이 도래하며, 대주들은 담보권을 실행할 수 있다.</w:t>
      </w:r>
    </w:p>
    <w:p>
      <w:pPr>
        <w:keepNext/>
        <w:spacing w:before="200" w:after="80" w:line="312" w:lineRule="auto"/>
        <w:jc w:val="both"/>
      </w:pPr>
      <w:r>
        <w:rPr>
          <w:rFonts w:ascii="맑은 고딕" w:hAnsi="맑은 고딕" w:eastAsia="맑은 고딕" w:cs="맑은 고딕"/>
          <w:b/>
          <w:sz w:val="22"/>
        </w:rPr>
        <w:t>제13조  대주의 의사결정</w:t>
      </w:r>
    </w:p>
    <w:p>
      <w:pPr>
        <w:spacing w:before="0" w:after="80" w:line="312" w:lineRule="auto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본 약정상 대주들의 결정은 다수대주의 결정으로 한다. 다만 (i) 이자율·만기·원리금 지급조건의 변경, (ii) 담보의 해지·순위 변경, (iii) 다수대주 정의의 변경은 대주 전원의 동의가 필요하다. [Tranche B에만 관련된 사항은 Tranche B 대주의 다수결로 정한다.]</w:t>
      </w:r>
    </w:p>
    <w:p>
      <w:pPr>
        <w:keepNext/>
        <w:spacing w:before="200" w:after="80" w:line="312" w:lineRule="auto"/>
        <w:jc w:val="both"/>
      </w:pPr>
      <w:r>
        <w:rPr>
          <w:rFonts w:ascii="맑은 고딕" w:hAnsi="맑은 고딕" w:eastAsia="맑은 고딕" w:cs="맑은 고딕"/>
          <w:b/>
          <w:sz w:val="22"/>
        </w:rPr>
        <w:t>제14조  통지</w:t>
      </w:r>
    </w:p>
    <w:p>
      <w:pPr>
        <w:spacing w:before="0" w:after="80" w:line="312" w:lineRule="auto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본 약정상 통지는 부록 5의 통지처로 서면(이메일 포함)으로 하며, 도달한 때 효력이 발생한다.</w:t>
      </w:r>
    </w:p>
    <w:p>
      <w:pPr>
        <w:keepNext/>
        <w:spacing w:before="200" w:after="80" w:line="312" w:lineRule="auto"/>
        <w:jc w:val="both"/>
      </w:pPr>
      <w:r>
        <w:rPr>
          <w:rFonts w:ascii="맑은 고딕" w:hAnsi="맑은 고딕" w:eastAsia="맑은 고딕" w:cs="맑은 고딕"/>
          <w:b/>
          <w:sz w:val="22"/>
        </w:rPr>
        <w:t>제15조  기타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① 완전합의: 금융계약서는 본 거래에 관한 당사자들 사이의 완전한 합의를 구성한다.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② 수정: 본 약정은 당사자들의 서면 합의로만 수정할 수 있다.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③ 개별성: 일부 조항이 무효가 되더라도 나머지 조항의 효력에는 영향이 없다.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④ 양도: 차주는 대주 전원의 동의 없이 지위를 양도할 수 없고, 대주는 [다른 금융기관에] 채권을 양도할 수 있다.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⑤ 비밀유지: 당사자들은 법령상 요구되는 경우 등을 제외하고 본 거래에 관한 정보를 공개하지 않는다.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⑥ 개별적·누적적 권리: 대주의 권리는 개별적이고 누적적이며 법령상 권리를 배제하지 않는다.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⑦ 준거법 및 관할: 대한민국 법을 준거법으로 하고, [서울중앙지방법원]을 제1심 관할법원으로 한다.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⑧ 기타계약과의 관계: 본 약정과 다른 금융계약서가 충돌하는 경우 본 약정이 우선한다. 여신거래기본약관(별첨 나)은 본 약정에 정하지 않은 사항에 적용한다.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⑨ 부본: 본 약정은 당사자 수만큼 작성하여 각 1부씩 보관한다.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⑩ 금융소비자보호법 관련 사항: 차주는 대주로부터 설명서를 받고 중요사항을 설명받았음을 확인한다.</w:t>
      </w:r>
    </w:p>
    <w:p>
      <w:pPr>
        <w:spacing w:before="0" w:after="40" w:line="312" w:lineRule="auto"/>
        <w:jc w:val="both"/>
      </w:pPr>
      <w:r>
        <w:rPr>
          <w:rFonts w:ascii="맑은 고딕" w:hAnsi="맑은 고딕" w:eastAsia="맑은 고딕" w:cs="맑은 고딕"/>
          <w:b w:val="0"/>
          <w:sz w:val="20"/>
        </w:rPr>
      </w:r>
    </w:p>
    <w:p>
      <w:pPr>
        <w:spacing w:before="0" w:after="80" w:line="312" w:lineRule="auto"/>
        <w:jc w:val="center"/>
      </w:pPr>
      <w:r>
        <w:rPr>
          <w:rFonts w:ascii="맑은 고딕" w:hAnsi="맑은 고딕" w:eastAsia="맑은 고딕" w:cs="맑은 고딕"/>
          <w:b w:val="0"/>
          <w:sz w:val="20"/>
        </w:rPr>
        <w:t>[●]년 [●]월 [●]일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4195"/>
        <w:gridCol w:w="3402"/>
      </w:tblGrid>
      <w:tr>
        <w:tc>
          <w:tcPr>
            <w:tcW w:type="dxa" w:w="1701"/>
            <w:vAlign w:val="center"/>
            <w:shd w:val="clear" w:color="auto" w:fill="D9E2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구분</w:t>
            </w:r>
          </w:p>
        </w:tc>
        <w:tc>
          <w:tcPr>
            <w:tcW w:type="dxa" w:w="4195"/>
            <w:vAlign w:val="center"/>
            <w:shd w:val="clear" w:color="auto" w:fill="D9E2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상호</w:t>
            </w:r>
          </w:p>
        </w:tc>
        <w:tc>
          <w:tcPr>
            <w:tcW w:type="dxa" w:w="3402"/>
            <w:vAlign w:val="center"/>
            <w:shd w:val="clear" w:color="auto" w:fill="D9E2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대표자 / 인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차주</w:t>
            </w:r>
          </w:p>
        </w:tc>
        <w:tc>
          <w:tcPr>
            <w:tcW w:type="dxa" w:w="419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[●] 위탁관리부동산투자회사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대표이사 [●]   (인)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Tranche A 대주</w:t>
            </w:r>
          </w:p>
        </w:tc>
        <w:tc>
          <w:tcPr>
            <w:tcW w:type="dxa" w:w="419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[●]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[●]   (인)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Tranche B 대주</w:t>
            </w:r>
          </w:p>
        </w:tc>
        <w:tc>
          <w:tcPr>
            <w:tcW w:type="dxa" w:w="419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[●]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[●]   (인)</w:t>
            </w:r>
          </w:p>
        </w:tc>
      </w:tr>
    </w:tbl>
    <w:p>
      <w:pPr>
        <w:spacing w:before="0" w:after="40" w:line="312" w:lineRule="auto"/>
        <w:jc w:val="both"/>
      </w:pPr>
      <w:r>
        <w:rPr>
          <w:rFonts w:ascii="맑은 고딕" w:hAnsi="맑은 고딕" w:eastAsia="맑은 고딕" w:cs="맑은 고딕"/>
          <w:b w:val="0"/>
          <w:sz w:val="20"/>
        </w:rPr>
      </w:r>
    </w:p>
    <w:p>
      <w:r>
        <w:br w:type="page"/>
      </w:r>
    </w:p>
    <w:p>
      <w:pPr>
        <w:keepNext/>
        <w:spacing w:before="200" w:after="80" w:line="312" w:lineRule="auto"/>
        <w:jc w:val="both"/>
      </w:pPr>
      <w:r>
        <w:rPr>
          <w:rFonts w:ascii="맑은 고딕" w:hAnsi="맑은 고딕" w:eastAsia="맑은 고딕" w:cs="맑은 고딕"/>
          <w:b/>
          <w:sz w:val="22"/>
        </w:rPr>
        <w:t>별지  대주목록 및 대주별 대출약정금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2041"/>
        <w:gridCol w:w="1928"/>
        <w:gridCol w:w="2154"/>
        <w:gridCol w:w="1361"/>
      </w:tblGrid>
      <w:tr>
        <w:tc>
          <w:tcPr>
            <w:tcW w:type="dxa" w:w="1814"/>
            <w:vAlign w:val="center"/>
            <w:shd w:val="clear" w:color="auto" w:fill="D9E2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구분</w:t>
            </w:r>
          </w:p>
        </w:tc>
        <w:tc>
          <w:tcPr>
            <w:tcW w:type="dxa" w:w="2041"/>
            <w:vAlign w:val="center"/>
            <w:shd w:val="clear" w:color="auto" w:fill="D9E2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대주명</w:t>
            </w:r>
          </w:p>
        </w:tc>
        <w:tc>
          <w:tcPr>
            <w:tcW w:type="dxa" w:w="1928"/>
            <w:vAlign w:val="center"/>
            <w:shd w:val="clear" w:color="auto" w:fill="D9E2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대출약정금(원)</w:t>
            </w:r>
          </w:p>
        </w:tc>
        <w:tc>
          <w:tcPr>
            <w:tcW w:type="dxa" w:w="2154"/>
            <w:vAlign w:val="center"/>
            <w:shd w:val="clear" w:color="auto" w:fill="D9E2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이자율</w:t>
            </w:r>
          </w:p>
        </w:tc>
        <w:tc>
          <w:tcPr>
            <w:tcW w:type="dxa" w:w="1361"/>
            <w:vAlign w:val="center"/>
            <w:shd w:val="clear" w:color="auto" w:fill="D9E2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인출방식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Tranche A-1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[●]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[●]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연 [●]% (고정)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일시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Tranche A-2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[●]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[●]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기준금리 + [●]% (변동)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일시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Tranche A 합계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</w:r>
          </w:p>
        </w:tc>
        <w:tc>
          <w:tcPr>
            <w:tcW w:type="dxa" w:w="1928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[●]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Tranche B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[●]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[●]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연 [●]% (고정)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일시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Tranche B 합계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</w:r>
          </w:p>
        </w:tc>
        <w:tc>
          <w:tcPr>
            <w:tcW w:type="dxa" w:w="1928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[●]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총계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</w:r>
          </w:p>
        </w:tc>
        <w:tc>
          <w:tcPr>
            <w:tcW w:type="dxa" w:w="1928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[●]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</w:r>
          </w:p>
        </w:tc>
      </w:tr>
    </w:tbl>
    <w:p>
      <w:pPr>
        <w:spacing w:before="0" w:after="40" w:line="312" w:lineRule="auto"/>
        <w:jc w:val="both"/>
      </w:pPr>
      <w:r>
        <w:rPr>
          <w:rFonts w:ascii="맑은 고딕" w:hAnsi="맑은 고딕" w:eastAsia="맑은 고딕" w:cs="맑은 고딕"/>
          <w:b w:val="0"/>
          <w:sz w:val="20"/>
        </w:rPr>
      </w:r>
    </w:p>
    <w:p>
      <w:pPr>
        <w:keepNext/>
        <w:spacing w:before="120" w:after="60" w:line="312" w:lineRule="auto"/>
        <w:jc w:val="both"/>
      </w:pPr>
      <w:r>
        <w:rPr>
          <w:rFonts w:ascii="맑은 고딕" w:hAnsi="맑은 고딕" w:eastAsia="맑은 고딕" w:cs="맑은 고딕"/>
          <w:b/>
          <w:sz w:val="20"/>
        </w:rPr>
        <w:t>부록 1  인출선행조건서류(예시)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1. 차주의 정관, 법인등기사항증명서, 인감증명서, 영업인가(등록) 증빙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2. 금융계약서 체결을 승인한 이사회(주주총회) 의사록 및 서명권자 확인서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3. 자산관리위탁계약, 자산보관계약, 사무수탁계약 등 관련 계약 사본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4. 본건 매매계약 및 거래종결 선행조건 충족 확인서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5. 담보신탁계약, 보험근질권·예금근질권 설정계약 등 담보계약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6. 자본금(지분) 납입 증빙 및 [종류주식 투자확약서 등 자본조달 관련 서류]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7. 감정평가서, 물리·법률·재무 실사보고서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8. 차주 측 법률자문사의 법률의견서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9. 보험증권 사본(대주 근질권자 지정 확인)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10. 수수료약정서 및 수수료 지급 증빙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11. 인출요청서(별첨 가)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12. 그 밖에 대주들이 합리적으로 요구하는 서류</w:t>
      </w:r>
    </w:p>
    <w:p>
      <w:pPr>
        <w:keepNext/>
        <w:spacing w:before="120" w:after="60" w:line="312" w:lineRule="auto"/>
        <w:jc w:val="both"/>
      </w:pPr>
      <w:r>
        <w:rPr>
          <w:rFonts w:ascii="맑은 고딕" w:hAnsi="맑은 고딕" w:eastAsia="맑은 고딕" w:cs="맑은 고딕"/>
          <w:b/>
          <w:sz w:val="20"/>
        </w:rPr>
        <w:t>부록 2  인출동시이행·인출후행조건서류(예시)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5329"/>
        <w:gridCol w:w="2494"/>
      </w:tblGrid>
      <w:tr>
        <w:tc>
          <w:tcPr>
            <w:tcW w:type="dxa" w:w="1474"/>
            <w:vAlign w:val="center"/>
            <w:shd w:val="clear" w:color="auto" w:fill="D9E2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구분</w:t>
            </w:r>
          </w:p>
        </w:tc>
        <w:tc>
          <w:tcPr>
            <w:tcW w:type="dxa" w:w="5329"/>
            <w:vAlign w:val="center"/>
            <w:shd w:val="clear" w:color="auto" w:fill="D9E2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서류</w:t>
            </w:r>
          </w:p>
        </w:tc>
        <w:tc>
          <w:tcPr>
            <w:tcW w:type="dxa" w:w="2494"/>
            <w:vAlign w:val="center"/>
            <w:shd w:val="clear" w:color="auto" w:fill="D9E2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기한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동시이행</w:t>
            </w:r>
          </w:p>
        </w:tc>
        <w:tc>
          <w:tcPr>
            <w:tcW w:type="dxa" w:w="5329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소유권이전등기 및 신탁등기 신청 접수증</w:t>
            </w:r>
          </w:p>
        </w:tc>
        <w:tc>
          <w:tcPr>
            <w:tcW w:type="dxa" w:w="2494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인출일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동시이행</w:t>
            </w:r>
          </w:p>
        </w:tc>
        <w:tc>
          <w:tcPr>
            <w:tcW w:type="dxa" w:w="5329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기존 담보권 말소등기 신청 접수증</w:t>
            </w:r>
          </w:p>
        </w:tc>
        <w:tc>
          <w:tcPr>
            <w:tcW w:type="dxa" w:w="2494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인출일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후행</w:t>
            </w:r>
          </w:p>
        </w:tc>
        <w:tc>
          <w:tcPr>
            <w:tcW w:type="dxa" w:w="5329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등기 완료 후 등기사항증명서</w:t>
            </w:r>
          </w:p>
        </w:tc>
        <w:tc>
          <w:tcPr>
            <w:tcW w:type="dxa" w:w="2494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인출일 후 [●]영업일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후행</w:t>
            </w:r>
          </w:p>
        </w:tc>
        <w:tc>
          <w:tcPr>
            <w:tcW w:type="dxa" w:w="5329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우선수익권증서</w:t>
            </w:r>
          </w:p>
        </w:tc>
        <w:tc>
          <w:tcPr>
            <w:tcW w:type="dxa" w:w="2494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인출일 후 [●]영업일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후행</w:t>
            </w:r>
          </w:p>
        </w:tc>
        <w:tc>
          <w:tcPr>
            <w:tcW w:type="dxa" w:w="5329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기존 담보 말소 완료 증빙</w:t>
            </w:r>
          </w:p>
        </w:tc>
        <w:tc>
          <w:tcPr>
            <w:tcW w:type="dxa" w:w="2494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인출일 후 [●]영업일</w:t>
            </w:r>
          </w:p>
        </w:tc>
      </w:tr>
    </w:tbl>
    <w:p>
      <w:pPr>
        <w:spacing w:before="0" w:after="40" w:line="312" w:lineRule="auto"/>
        <w:jc w:val="both"/>
      </w:pPr>
      <w:r>
        <w:rPr>
          <w:rFonts w:ascii="맑은 고딕" w:hAnsi="맑은 고딕" w:eastAsia="맑은 고딕" w:cs="맑은 고딕"/>
          <w:b w:val="0"/>
          <w:sz w:val="20"/>
        </w:rPr>
      </w:r>
    </w:p>
    <w:p>
      <w:pPr>
        <w:keepNext/>
        <w:spacing w:before="120" w:after="60" w:line="312" w:lineRule="auto"/>
        <w:jc w:val="both"/>
      </w:pPr>
      <w:r>
        <w:rPr>
          <w:rFonts w:ascii="맑은 고딕" w:hAnsi="맑은 고딕" w:eastAsia="맑은 고딕" w:cs="맑은 고딕"/>
          <w:b/>
          <w:sz w:val="20"/>
        </w:rPr>
        <w:t>부록 3  본건 부동산 목록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3969"/>
        <w:gridCol w:w="2041"/>
        <w:gridCol w:w="1928"/>
      </w:tblGrid>
      <w:tr>
        <w:tc>
          <w:tcPr>
            <w:tcW w:type="dxa" w:w="1361"/>
            <w:vAlign w:val="center"/>
            <w:shd w:val="clear" w:color="auto" w:fill="D9E2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구분</w:t>
            </w:r>
          </w:p>
        </w:tc>
        <w:tc>
          <w:tcPr>
            <w:tcW w:type="dxa" w:w="3969"/>
            <w:vAlign w:val="center"/>
            <w:shd w:val="clear" w:color="auto" w:fill="D9E2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소재지</w:t>
            </w:r>
          </w:p>
        </w:tc>
        <w:tc>
          <w:tcPr>
            <w:tcW w:type="dxa" w:w="2041"/>
            <w:vAlign w:val="center"/>
            <w:shd w:val="clear" w:color="auto" w:fill="D9E2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지목/구조</w:t>
            </w:r>
          </w:p>
        </w:tc>
        <w:tc>
          <w:tcPr>
            <w:tcW w:type="dxa" w:w="1928"/>
            <w:vAlign w:val="center"/>
            <w:shd w:val="clear" w:color="auto" w:fill="D9E2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면적(㎡)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토지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[●]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[●]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[●]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건물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[●]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[●]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[●]</w:t>
            </w:r>
          </w:p>
        </w:tc>
      </w:tr>
    </w:tbl>
    <w:p>
      <w:pPr>
        <w:spacing w:before="0" w:after="40" w:line="312" w:lineRule="auto"/>
        <w:jc w:val="both"/>
      </w:pPr>
      <w:r>
        <w:rPr>
          <w:rFonts w:ascii="맑은 고딕" w:hAnsi="맑은 고딕" w:eastAsia="맑은 고딕" w:cs="맑은 고딕"/>
          <w:b w:val="0"/>
          <w:sz w:val="20"/>
        </w:rPr>
      </w:r>
    </w:p>
    <w:p>
      <w:pPr>
        <w:keepNext/>
        <w:spacing w:before="120" w:after="60" w:line="312" w:lineRule="auto"/>
        <w:jc w:val="both"/>
      </w:pPr>
      <w:r>
        <w:rPr>
          <w:rFonts w:ascii="맑은 고딕" w:hAnsi="맑은 고딕" w:eastAsia="맑은 고딕" w:cs="맑은 고딕"/>
          <w:b/>
          <w:sz w:val="20"/>
        </w:rPr>
        <w:t>부록 4  임대차계약 목록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701"/>
        <w:gridCol w:w="2041"/>
        <w:gridCol w:w="1814"/>
        <w:gridCol w:w="1814"/>
      </w:tblGrid>
      <w:tr>
        <w:tc>
          <w:tcPr>
            <w:tcW w:type="dxa" w:w="1928"/>
            <w:vAlign w:val="center"/>
            <w:shd w:val="clear" w:color="auto" w:fill="D9E2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임차인</w:t>
            </w:r>
          </w:p>
        </w:tc>
        <w:tc>
          <w:tcPr>
            <w:tcW w:type="dxa" w:w="1701"/>
            <w:vAlign w:val="center"/>
            <w:shd w:val="clear" w:color="auto" w:fill="D9E2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임대면적(㎡)</w:t>
            </w:r>
          </w:p>
        </w:tc>
        <w:tc>
          <w:tcPr>
            <w:tcW w:type="dxa" w:w="2041"/>
            <w:vAlign w:val="center"/>
            <w:shd w:val="clear" w:color="auto" w:fill="D9E2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임대기간</w:t>
            </w:r>
          </w:p>
        </w:tc>
        <w:tc>
          <w:tcPr>
            <w:tcW w:type="dxa" w:w="1814"/>
            <w:vAlign w:val="center"/>
            <w:shd w:val="clear" w:color="auto" w:fill="D9E2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보증금(원)</w:t>
            </w:r>
          </w:p>
        </w:tc>
        <w:tc>
          <w:tcPr>
            <w:tcW w:type="dxa" w:w="1814"/>
            <w:vAlign w:val="center"/>
            <w:shd w:val="clear" w:color="auto" w:fill="D9E2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월 임대료(원)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[●]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[●]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[●]~[●]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[●]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[●]</w:t>
            </w:r>
          </w:p>
        </w:tc>
      </w:tr>
    </w:tbl>
    <w:p>
      <w:pPr>
        <w:spacing w:before="0" w:after="40" w:line="312" w:lineRule="auto"/>
        <w:jc w:val="both"/>
      </w:pPr>
      <w:r>
        <w:rPr>
          <w:rFonts w:ascii="맑은 고딕" w:hAnsi="맑은 고딕" w:eastAsia="맑은 고딕" w:cs="맑은 고딕"/>
          <w:b w:val="0"/>
          <w:sz w:val="20"/>
        </w:rPr>
      </w:r>
    </w:p>
    <w:p>
      <w:pPr>
        <w:keepNext/>
        <w:spacing w:before="120" w:after="60" w:line="312" w:lineRule="auto"/>
        <w:jc w:val="both"/>
      </w:pPr>
      <w:r>
        <w:rPr>
          <w:rFonts w:ascii="맑은 고딕" w:hAnsi="맑은 고딕" w:eastAsia="맑은 고딕" w:cs="맑은 고딕"/>
          <w:b/>
          <w:sz w:val="20"/>
        </w:rPr>
        <w:t>부록 5  통지처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628"/>
        <w:gridCol w:w="1701"/>
        <w:gridCol w:w="2268"/>
      </w:tblGrid>
      <w:tr>
        <w:tc>
          <w:tcPr>
            <w:tcW w:type="dxa" w:w="1701"/>
            <w:vAlign w:val="center"/>
            <w:shd w:val="clear" w:color="auto" w:fill="D9E2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당사자</w:t>
            </w:r>
          </w:p>
        </w:tc>
        <w:tc>
          <w:tcPr>
            <w:tcW w:type="dxa" w:w="3628"/>
            <w:vAlign w:val="center"/>
            <w:shd w:val="clear" w:color="auto" w:fill="D9E2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주소</w:t>
            </w:r>
          </w:p>
        </w:tc>
        <w:tc>
          <w:tcPr>
            <w:tcW w:type="dxa" w:w="1701"/>
            <w:vAlign w:val="center"/>
            <w:shd w:val="clear" w:color="auto" w:fill="D9E2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담당자</w:t>
            </w:r>
          </w:p>
        </w:tc>
        <w:tc>
          <w:tcPr>
            <w:tcW w:type="dxa" w:w="2268"/>
            <w:vAlign w:val="center"/>
            <w:shd w:val="clear" w:color="auto" w:fill="D9E2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이메일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차주</w:t>
            </w:r>
          </w:p>
        </w:tc>
        <w:tc>
          <w:tcPr>
            <w:tcW w:type="dxa" w:w="3628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[●]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[●]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[●]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대주</w:t>
            </w:r>
          </w:p>
        </w:tc>
        <w:tc>
          <w:tcPr>
            <w:tcW w:type="dxa" w:w="3628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[●]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[●]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[●]</w:t>
            </w:r>
          </w:p>
        </w:tc>
      </w:tr>
    </w:tbl>
    <w:p>
      <w:pPr>
        <w:spacing w:before="0" w:after="40" w:line="312" w:lineRule="auto"/>
        <w:jc w:val="both"/>
      </w:pPr>
      <w:r>
        <w:rPr>
          <w:rFonts w:ascii="맑은 고딕" w:hAnsi="맑은 고딕" w:eastAsia="맑은 고딕" w:cs="맑은 고딕"/>
          <w:b w:val="0"/>
          <w:sz w:val="20"/>
        </w:rPr>
      </w:r>
    </w:p>
    <w:p>
      <w:pPr>
        <w:keepNext/>
        <w:spacing w:before="200" w:after="80" w:line="312" w:lineRule="auto"/>
        <w:jc w:val="both"/>
      </w:pPr>
      <w:r>
        <w:rPr>
          <w:rFonts w:ascii="맑은 고딕" w:hAnsi="맑은 고딕" w:eastAsia="맑은 고딕" w:cs="맑은 고딕"/>
          <w:b/>
          <w:sz w:val="22"/>
        </w:rPr>
        <w:t>별첨 가  인출요청서</w:t>
      </w:r>
    </w:p>
    <w:p>
      <w:pPr>
        <w:spacing w:before="0" w:after="80" w:line="312" w:lineRule="auto"/>
        <w:jc w:val="right"/>
      </w:pPr>
      <w:r>
        <w:rPr>
          <w:rFonts w:ascii="맑은 고딕" w:hAnsi="맑은 고딕" w:eastAsia="맑은 고딕" w:cs="맑은 고딕"/>
          <w:b w:val="0"/>
          <w:sz w:val="20"/>
        </w:rPr>
        <w:t>[●]년 [●]월 [●]일</w:t>
      </w:r>
    </w:p>
    <w:p>
      <w:pPr>
        <w:spacing w:before="0" w:after="80" w:line="312" w:lineRule="auto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수신: 대출약정서에 기재된 대주들</w:t>
      </w:r>
    </w:p>
    <w:p>
      <w:pPr>
        <w:spacing w:before="0" w:after="80" w:line="312" w:lineRule="auto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[●] 위탁관리부동산투자회사(이하 "차주")는 [●]년 [●]월 [●]일자 대출약정서(이하 "대출약정서")에 따라 아래와 같이 대출금의 인출을 요청합니다.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030"/>
      </w:tblGrid>
      <w:tr>
        <w:tc>
          <w:tcPr>
            <w:tcW w:type="dxa" w:w="2268"/>
            <w:vAlign w:val="center"/>
            <w:shd w:val="clear" w:color="auto" w:fill="F2F2F2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인출예정일</w:t>
            </w:r>
          </w:p>
        </w:tc>
        <w:tc>
          <w:tcPr>
            <w:tcW w:type="dxa" w:w="7030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[●]년 [●]월 [●]일</w:t>
            </w:r>
          </w:p>
        </w:tc>
      </w:tr>
      <w:tr>
        <w:tc>
          <w:tcPr>
            <w:tcW w:type="dxa" w:w="2268"/>
            <w:vAlign w:val="center"/>
            <w:shd w:val="clear" w:color="auto" w:fill="F2F2F2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인출금액</w:t>
            </w:r>
          </w:p>
        </w:tc>
        <w:tc>
          <w:tcPr>
            <w:tcW w:type="dxa" w:w="7030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금 [●]원 (Tranche A [●]원 / Tranche B [●]원)</w:t>
            </w:r>
          </w:p>
        </w:tc>
      </w:tr>
      <w:tr>
        <w:tc>
          <w:tcPr>
            <w:tcW w:type="dxa" w:w="2268"/>
            <w:vAlign w:val="center"/>
            <w:shd w:val="clear" w:color="auto" w:fill="F2F2F2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입금계좌</w:t>
            </w:r>
          </w:p>
        </w:tc>
        <w:tc>
          <w:tcPr>
            <w:tcW w:type="dxa" w:w="7030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대출금입금계좌 [●]은행 [●]</w:t>
            </w:r>
          </w:p>
        </w:tc>
      </w:tr>
    </w:tbl>
    <w:p>
      <w:pPr>
        <w:spacing w:before="0" w:after="40" w:line="312" w:lineRule="auto"/>
        <w:jc w:val="both"/>
      </w:pPr>
      <w:r>
        <w:rPr>
          <w:rFonts w:ascii="맑은 고딕" w:hAnsi="맑은 고딕" w:eastAsia="맑은 고딕" w:cs="맑은 고딕"/>
          <w:b w:val="0"/>
          <w:sz w:val="20"/>
        </w:rPr>
      </w:r>
    </w:p>
    <w:p>
      <w:pPr>
        <w:spacing w:before="0" w:after="80" w:line="312" w:lineRule="auto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차주는 이 요청서 작성일 현재 다음 사항을 확인합니다.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1. 기한의 이익 상실 사유 또는 그 우려가 있는 사유가 발생하지 않았습니다.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2. 대출약정서상 차주의 진술 및 보장은 진실하고 정확합니다.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3. 대출약정서 제4조 제2항 및 제3항의 인출조건이 모두 충족되었습니다.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4. 위 사항에 관하여 인출일까지 변경이 생기면 지체 없이 서면으로 통지하겠습니다.</w:t>
      </w:r>
    </w:p>
    <w:p>
      <w:pPr>
        <w:spacing w:before="0" w:after="80" w:line="312" w:lineRule="auto"/>
        <w:jc w:val="right"/>
      </w:pPr>
      <w:r>
        <w:rPr>
          <w:rFonts w:ascii="맑은 고딕" w:hAnsi="맑은 고딕" w:eastAsia="맑은 고딕" w:cs="맑은 고딕"/>
          <w:b w:val="0"/>
          <w:sz w:val="20"/>
        </w:rPr>
        <w:t>[●] 위탁관리부동산투자회사  대표이사 [●] (인)</w:t>
      </w:r>
    </w:p>
    <w:p>
      <w:pPr>
        <w:keepNext/>
        <w:spacing w:before="120" w:after="60" w:line="312" w:lineRule="auto"/>
        <w:jc w:val="both"/>
      </w:pPr>
      <w:r>
        <w:rPr>
          <w:rFonts w:ascii="맑은 고딕" w:hAnsi="맑은 고딕" w:eastAsia="맑은 고딕" w:cs="맑은 고딕"/>
          <w:b/>
          <w:sz w:val="20"/>
        </w:rPr>
        <w:t>별첨 나  여신거래기본약관(대주별 약관 별도 첨부)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 w:cs="맑은 고딕"/>
        <w:b w:val="0"/>
        <w:color w:val="7F7F7F"/>
        <w:sz w:val="15"/>
      </w:rPr>
      <w:t xml:space="preserve">본 서식은 교육 목적의 일반 예시이며 법률 자문이 아닙니다. 실제 거래에는 외부 법무법인 검토가 필요합니다.   - </w:t>
    </w:r>
    <w:r>
      <w:rPr>
        <w:rFonts w:ascii="맑은 고딕" w:hAnsi="맑은 고딕" w:eastAsia="맑은 고딕" w:cs="맑은 고딕"/>
        <w:b w:val="0"/>
        <w:sz w:val="16"/>
      </w:rPr>
      <w:fldChar w:fldCharType="begin"/>
      <w:instrText xml:space="preserve">PAGE</w:instrText>
      <w:fldChar w:fldCharType="end"/>
    </w:r>
    <w:r>
      <w:rPr>
        <w:rFonts w:ascii="맑은 고딕" w:hAnsi="맑은 고딕" w:eastAsia="맑은 고딕" w:cs="맑은 고딕"/>
        <w:b w:val="0"/>
        <w:color w:val="7F7F7F"/>
        <w:sz w:val="15"/>
      </w:rPr>
      <w:t xml:space="preserve"> -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맑은 고딕" w:hAnsi="맑은 고딕" w:eastAsia="맑은 고딕" w:cs="맑은 고딕"/>
        <w:b w:val="0"/>
        <w:color w:val="7F7F7F"/>
        <w:sz w:val="16"/>
      </w:rPr>
      <w:t>강의용 예시 서식(Clean) · 특정 거래·당사자와 무관 · [●]는 공란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 w:cs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담보대출약정서</dc:title>
  <dc:subject/>
  <dc:creator/>
  <cp:keywords>강의용, 예시서식, Clean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