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312" w:lineRule="auto"/>
        <w:jc w:val="center"/>
      </w:pPr>
      <w:r>
        <w:rPr>
          <w:rFonts w:ascii="맑은 고딕" w:hAnsi="맑은 고딕" w:eastAsia="맑은 고딕" w:cs="맑은 고딕"/>
          <w:b/>
          <w:sz w:val="36"/>
        </w:rPr>
        <w:t>금 융 확 약 서</w:t>
      </w:r>
    </w:p>
    <w:p>
      <w:pPr>
        <w:spacing w:before="0" w:after="120" w:line="312" w:lineRule="auto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>(대출 인수확약서 · Letter of Commitment)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824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발  신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[●]은행(또는 [●]캐피탈·보험·저축은행) [●]부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수  신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 주식회사(자산관리회사) / [●]증권 주식회사(금융주선기관)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제  목</w:t>
            </w:r>
          </w:p>
        </w:tc>
        <w:tc>
          <w:tcPr>
            <w:tcW w:type="dxa" w:w="782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[대상자산] 담보대출 관련 금융확약서 제출의 건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1. 귀사의 무궁한 발전을 기원합니다.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 당행은 귀사가 설립하여 운용할 예정인 부동산투자회사(이하 "차주")의 [대상자산] 취득을 위한 담보대출과 관련하여, 첨부 주요 금융조건(Indicative Terms &amp; Conditions)에 따라 [선순위 / 중순위] 담보대출 금 [●]원(₩[●])을 제공할 것을 확약합니다.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3. 본 확약은 위 담보대출 용도에 한하여 효력이 있으며, 당행의 사전 서면동의 없이 제3자에게 제공하거나 공개할 수 없습니다.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4. 본 확약서의 유효기간은 [●]년 [●]월 [●]일까지로 하며, 그때까지 대출약정이 체결되지 않으면 효력을 잃습니다.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5. 본 확약은 다음 조건이 충족되는 것을 전제로 합니다.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가. 당행 여신심사 등 내부 승인 절차의 완료(발급일 현재 [완료 / 진행 중])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나. 감정평가 및 물리·법률 실사 결과가 당행이 검토한 내용과 중대한 차이가 없을 것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다. 대출약정서, 담보계약 등 금융계약이 당행이 만족하는 형식과 내용으로 체결될 것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라. 차주, 대상자산 또는 금융시장에 중대한 부정적 변화가 발생하지 않을 것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마. 첨부 금융조건의 인출선행조건이 충족될 것</w:t>
      </w:r>
    </w:p>
    <w:p>
      <w:pPr>
        <w:spacing w:before="0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0"/>
        </w:rPr>
        <w:t>끝.</w:t>
      </w:r>
    </w:p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0"/>
        </w:rPr>
        <w:t>[●]년 [●]월 [●]일</w:t>
      </w:r>
    </w:p>
    <w:p>
      <w:pPr>
        <w:spacing w:before="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0"/>
        </w:rPr>
        <w:t>[●]은행 [●]부</w:t>
        <w:br/>
        <w:t>부장  [●]  (인)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첨부: 주요 금융조건(Indicative Terms &amp; Conditions) 1부</w:t>
      </w:r>
    </w:p>
    <w:p>
      <w:r>
        <w:br w:type="page"/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[첨부] 주요 금융조건 (Indicative Terms &amp; Conditions)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본 조건은 [●]년 [●]월 [●]일 금리 기준 예시이며, 최종 조건은 대출약정서에 따릅니다.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370"/>
      </w:tblGrid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차주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 위탁관리부동산투자회사(가칭)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자산관리회사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 주식회사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담보신탁 수탁자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 (TBD)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대상자산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 (소재지 [●], 연면적 [●]㎡)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대출금액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총 [●]억원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· Tranche A(선순위) [●]억원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· Tranche B(중순위) [●]억원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대출기간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최초 인출일부터 [●]개월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인출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대출약정 체결일부터 [●]개월 이내, 매매대금 지급 시 1회 일시 인출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인출예정일 [●]영업일 전 인출요청서 제출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대출금리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· A-1(고정): 연 [●]% / All-in [●]%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· A-2(변동): 기준금리([3개월 CD]) + [●]% / All-in 기준금리 + [●]%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· Tranche B(고정): 연 [●]% / All-in [●]%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※ [고정금리 비중 [●]% 이상] / [약정일 기준금리 변동분 반영]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수수료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취급(주선·참여)수수료 [●]% — 참여기관 구성 및 셀다운 결과에 따라 변동 가능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원금상환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만기 일시상환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이자지급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 [3]개월 후취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연체이율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대출금리 + 연 [●]% (법정 최고이자율 이내)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임의 조기상환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이자지급일에 가능, [●]영업일 전 서면 통지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조기상환수수료: 최초 인출일부터 [●]개월 이내 상환원금의 [●]%, 이후 면제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[리파이낸싱 참여 대주 상환분 면제] / 상환금액 재차입 불가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의무 조기상환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대상자산 매각, 보험금·수용보상금 수령 시(수수료 없음)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채권보전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· 부동산담보신탁 우선수익권: Tranche A 공동 [●]순위, Tranche B 공동 [●]순위 (각 대출금의 [●]%)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· [임차인 보증금 반환채권을 위한 선순위 우선수익권: [●]]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· 보험금청구권 근질권 / 자금관리계좌 예금채권 근질권: 같은 순위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· 그 밖에 대주가 요구하는 담보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이자유보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차주 명의 이자유보계좌에 [●]개월분 이자 상당액 유보 및 근질권 설정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재무약정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· 이자지급력지수(DSCR) [●]배 이상 유지 — 미달 시 [●]개월분 이자 추가 유보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· [Tranche B 기준 DSCR [●]배 미만 시 보통주 배당 제한]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인출선행조건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인허가·법인·수권서류, 금융계약 및 담보계약 체결, 실사보고서, 법률의견서, 자본금(지분) 납입 증빙, [종류주식 매입확약 등 자본조달 관련 확약서], 인출요청서, 그 밖에 대주가 요구하는 서류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인출후행조건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기존 담보 말소 및 신탁등기 완료 증빙, 우선수익권증서 교부 (인출일 후 [●]영업일 이내)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주요 준수사항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추가차입·담보제공 금지, 자산 매각 제한, 보험 가입, 정기 보고, 리파이낸싱 계획 제출 등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기한이익상실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원리금 연체, 진술·보장 위반, 준수사항 위반 후 미시정, 도산, 담보가치 훼손 등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비용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법률자문 비용 등 금융계약 관련 비용은 차주 부담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준거법·관할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대한민국 법 / [서울중앙지방법원]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color w:val="7F7F7F"/>
        <w:sz w:val="15"/>
      </w:rPr>
      <w:t xml:space="preserve">본 서식은 교육 목적의 일반 예시이며 법률 자문이 아닙니다. 실제 거래에는 외부 법무법인 검토가 필요합니다.   - </w:t>
    </w:r>
    <w:r>
      <w:rPr>
        <w:rFonts w:ascii="맑은 고딕" w:hAnsi="맑은 고딕" w:eastAsia="맑은 고딕" w:cs="맑은 고딕"/>
        <w:b w:val="0"/>
        <w:sz w:val="16"/>
      </w:rPr>
      <w:fldChar w:fldCharType="begin"/>
      <w:instrText xml:space="preserve">PAGE</w:instrText>
      <w:fldChar w:fldCharType="end"/>
    </w:r>
    <w:r>
      <w:rPr>
        <w:rFonts w:ascii="맑은 고딕" w:hAnsi="맑은 고딕" w:eastAsia="맑은 고딕" w:cs="맑은 고딕"/>
        <w:b w:val="0"/>
        <w:color w:val="7F7F7F"/>
        <w:sz w:val="15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color w:val="7F7F7F"/>
        <w:sz w:val="16"/>
      </w:rPr>
      <w:t>강의용 예시 서식(Clean) · 특정 거래·당사자와 무관 · [●]는 공란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인수확약서(대출)</dc:title>
  <dc:subject/>
  <dc:creator/>
  <cp:keywords>강의용, 예시서식, Clean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