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Pemodelan Pemilihan Moda dalam Jaringan Transportasi Publik Terintegrasi di Kota Palembang Menggunakan Multinomial Logit</w:t>
      </w:r>
    </w:p>
    <w:p>
      <w:pPr>
        <w:spacing w:before="200" w:after="120"/>
        <w:jc w:val="center"/>
      </w:pPr>
      <w:r>
        <w:rPr>
          <w:rFonts w:ascii="Times New Roman" w:hAnsi="Times New Roman"/>
          <w:b/>
          <w:color w:val="000000"/>
          <w:sz w:val="21"/>
        </w:rPr>
        <w:t>ABSTRAK</w:t>
      </w:r>
    </w:p>
    <w:p>
      <w:pPr>
        <w:spacing w:before="0" w:after="80" w:line="252" w:lineRule="auto"/>
        <w:jc w:val="both"/>
      </w:pPr>
      <w:r>
        <w:rPr>
          <w:rFonts w:ascii="Times New Roman" w:hAnsi="Times New Roman"/>
          <w:sz w:val="20"/>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8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PENDAHULUAN</w:t>
      </w:r>
    </w:p>
    <w:p>
      <w:pPr>
        <w:spacing w:before="0" w:after="80" w:line="252" w:lineRule="auto"/>
        <w:jc w:val="both"/>
      </w:pPr>
      <w:r>
        <w:rPr>
          <w:rFonts w:ascii="Times New Roman" w:hAnsi="Times New Roman"/>
          <w:sz w:val="19"/>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80" w:line="252" w:lineRule="auto"/>
        <w:jc w:val="both"/>
      </w:pPr>
      <w:r>
        <w:rPr>
          <w:rFonts w:ascii="Times New Roman" w:hAnsi="Times New Roman"/>
          <w:sz w:val="19"/>
        </w:rPr>
        <w:t>Kerangka utilitas acak memodelkan pilihan sebagai hasil perbandingan utilitas alternatif (McFadden 1974; Ben-Akiva &amp; Lerman 1985). Multinomial Logit (MNL) banyak digunakan karena probabilitas pilihan dapat dihubungkan langsung dengan atribut alternatif dan parameternya dapat diestimasi melalui maximum likelihood (Train 2009). Dalam konteks perjalanan, waktu dan biaya lazim diharapkan menurunkan utilitas, sementara kenyamanan dan keandalan diharapkan meningkatkannya. Nilai akses dan transfer juga penting karena waktu di luar kendaraan sering dihargai berbeda dari waktu di dalam kendaraan (Wardman 2004), sedangkan ketidakpastian waktu perjalanan dapat menimbulkan disutilitas tersendiri (Bates et al. 2001).</w:t>
      </w:r>
    </w:p>
    <w:p>
      <w:pPr>
        <w:spacing w:before="0" w:after="80" w:line="252" w:lineRule="auto"/>
        <w:jc w:val="both"/>
      </w:pPr>
      <w:r>
        <w:rPr>
          <w:rFonts w:ascii="Times New Roman" w:hAnsi="Times New Roman"/>
          <w:sz w:val="19"/>
        </w:rPr>
        <w:t>Model sederhana tetap memiliki keterbatasan. Respons terhadap atribut dapat berbeda antarindividu (Bhat 1998), dan konstanta spesifik alternatif diperlukan untuk menangkap kecenderungan dasar yang tidak direpresentasikan oleh atribut terukur (Ben-Akiva &amp; Lerman 1985). Selain itu, pilihan yang dinyatakan sebelum perjalanan tidak identik dengan perilaku yang telah diwujudkan; konteks pilihan dan realisme skenario harus dinyatakan secara transparan (Louviere et al. 2000).</w:t>
      </w:r>
    </w:p>
    <w:p>
      <w:pPr>
        <w:spacing w:before="0" w:after="80" w:line="252" w:lineRule="auto"/>
        <w:jc w:val="both"/>
      </w:pPr>
      <w:r>
        <w:rPr>
          <w:rFonts w:ascii="Times New Roman" w:hAnsi="Times New Roman"/>
          <w:sz w:val="19"/>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40" w:after="80"/>
        <w:jc w:val="center"/>
      </w:pPr>
      <w:r>
        <w:rPr>
          <w:rFonts w:ascii="Times New Roman" w:hAnsi="Times New Roman"/>
          <w:b/>
          <w:color w:val="000000"/>
          <w:sz w:val="20"/>
        </w:rPr>
        <w:t>METODOLOGI</w:t>
      </w:r>
    </w:p>
    <w:p>
      <w:pPr>
        <w:keepNext/>
        <w:spacing w:before="160" w:after="40"/>
        <w:jc w:val="left"/>
      </w:pPr>
      <w:r>
        <w:rPr>
          <w:rFonts w:ascii="Times New Roman" w:hAnsi="Times New Roman"/>
          <w:b/>
          <w:color w:val="000000"/>
          <w:sz w:val="19"/>
        </w:rPr>
        <w:t>Konteks Studi dan Jaringan Transportasi</w:t>
      </w:r>
    </w:p>
    <w:p>
      <w:pPr>
        <w:spacing w:before="0" w:after="80" w:line="252" w:lineRule="auto"/>
        <w:jc w:val="both"/>
      </w:pPr>
      <w:r>
        <w:rPr>
          <w:rFonts w:ascii="Times New Roman" w:hAnsi="Times New Roman"/>
          <w:sz w:val="19"/>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160" w:after="40"/>
        <w:jc w:val="left"/>
      </w:pPr>
      <w:r>
        <w:rPr>
          <w:rFonts w:ascii="Times New Roman" w:hAnsi="Times New Roman"/>
          <w:b/>
          <w:color w:val="000000"/>
          <w:sz w:val="19"/>
        </w:rPr>
        <w:t>Pembentukan Choice Set oleh Aplikasi</w:t>
      </w:r>
    </w:p>
    <w:p>
      <w:pPr>
        <w:spacing w:before="0" w:after="80" w:line="252" w:lineRule="auto"/>
        <w:jc w:val="both"/>
      </w:pPr>
      <w:r>
        <w:rPr>
          <w:rFonts w:ascii="Times New Roman" w:hAnsi="Times New Roman"/>
          <w:sz w:val="19"/>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GAMBAR 1. Alur pembentukan alternatif, pengumpulan pilihan, audit data, dan estimasi MNL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Desain Survei dan Pengumpulan Data</w:t>
      </w:r>
    </w:p>
    <w:p>
      <w:pPr>
        <w:spacing w:before="0" w:after="80" w:line="252" w:lineRule="auto"/>
        <w:jc w:val="both"/>
      </w:pPr>
      <w:r>
        <w:rPr>
          <w:rFonts w:ascii="Times New Roman" w:hAnsi="Times New Roman"/>
          <w:sz w:val="19"/>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160" w:after="40"/>
        <w:jc w:val="left"/>
      </w:pPr>
      <w:r>
        <w:rPr>
          <w:rFonts w:ascii="Times New Roman" w:hAnsi="Times New Roman"/>
          <w:b/>
          <w:color w:val="000000"/>
          <w:sz w:val="19"/>
        </w:rPr>
        <w:t>Variabel</w:t>
      </w:r>
    </w:p>
    <w:p>
      <w:pPr>
        <w:keepNext/>
        <w:spacing w:before="40" w:after="160"/>
        <w:jc w:val="center"/>
      </w:pPr>
      <w:r>
        <w:rPr>
          <w:rFonts w:ascii="Times New Roman" w:hAnsi="Times New Roman"/>
          <w:b/>
          <w:color w:val="000000"/>
          <w:sz w:val="18"/>
        </w:rPr>
        <w:t>TABEL 1. Definisi variabel model</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Definisi dan satuan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Dugaan tanda</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waktu perjalanan, menit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biaya perjalanan,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Jumlah pergantian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first/last-mile,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Indikator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Tidak ditentukan</w:t>
            </w:r>
          </w:p>
        </w:tc>
      </w:tr>
    </w:tbl>
    <w:p>
      <w:pPr>
        <w:spacing w:before="0" w:after="80"/>
      </w:pPr>
    </w:p>
    <w:p>
      <w:pPr>
        <w:spacing w:before="0" w:after="80" w:line="252" w:lineRule="auto"/>
        <w:jc w:val="both"/>
      </w:pPr>
      <w:r>
        <w:rPr>
          <w:rFonts w:ascii="Times New Roman" w:hAnsi="Times New Roman"/>
          <w:sz w:val="19"/>
        </w:rPr>
        <w:t>Skor kenyamanan dan keandalan merupakan parameter sistem per moda, bukan pengukuran objektif lapangan. Karena itu, keduanya diperlakukan sebagai proksi dan dibahas sebagai keterbatasan.</w:t>
      </w:r>
    </w:p>
    <w:p>
      <w:pPr>
        <w:keepNext/>
        <w:spacing w:before="40" w:after="160"/>
        <w:jc w:val="center"/>
      </w:pPr>
      <w:r>
        <w:rPr>
          <w:rFonts w:ascii="Times New Roman" w:hAnsi="Times New Roman"/>
          <w:b/>
          <w:color w:val="000000"/>
          <w:sz w:val="18"/>
        </w:rPr>
        <w:t>TABEL 2. Karakteristik 318 responden dalam sampel analisis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Karakteristik</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Kategori dominan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Jenis kelamin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Perempuan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Pekerjaan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Pelajar/mahasiswa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Pendapatan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&lt;Rp1 juta/bulan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Kepemilikan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Tujuan perjalanan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Sekolah/kuliah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Frekuensi angkutan umum</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Beberapa kali seminggu</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Delapan observasi tidak memiliki profil lengkap; persentase pada tabel menggunakan seluruh sampel analisis sebagai penyebut.</w:t>
      </w:r>
    </w:p>
    <w:p>
      <w:pPr>
        <w:keepNext/>
        <w:spacing w:before="160" w:after="40"/>
        <w:jc w:val="left"/>
      </w:pPr>
      <w:r>
        <w:rPr>
          <w:rFonts w:ascii="Times New Roman" w:hAnsi="Times New Roman"/>
          <w:b/>
          <w:color w:val="000000"/>
          <w:sz w:val="19"/>
        </w:rPr>
        <w:t>Audit dan Pembersihan Data</w:t>
      </w:r>
    </w:p>
    <w:p>
      <w:pPr>
        <w:spacing w:before="0" w:after="80" w:line="252" w:lineRule="auto"/>
        <w:jc w:val="both"/>
      </w:pPr>
      <w:r>
        <w:rPr>
          <w:rFonts w:ascii="Times New Roman" w:hAnsi="Times New Roman"/>
          <w:sz w:val="19"/>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keepNext/>
        <w:spacing w:before="40" w:after="160"/>
        <w:jc w:val="center"/>
      </w:pPr>
      <w:r>
        <w:rPr>
          <w:rFonts w:ascii="Times New Roman" w:hAnsi="Times New Roman"/>
          <w:b/>
          <w:color w:val="000000"/>
          <w:sz w:val="18"/>
        </w:rPr>
        <w:t>TABEL 3. Alur pembentukan sampel analisis</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Tahap</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Observasi</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Data sumber</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nilai ekstrem</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&lt;2 alternatif unik</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Sampel analisis final</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Sebanyak 136 baris alternatif duplikat digabung, menghasilkan 748 baris alternatif final. Checksum SHA-256 sumber adalah `93fcf7d061e8e294f2ebefd8dc8a52b7b5632484085b960e30820fc615219c2a`.</w:t>
      </w:r>
    </w:p>
    <w:p>
      <w:pPr>
        <w:keepNext/>
        <w:spacing w:before="160" w:after="40"/>
        <w:jc w:val="left"/>
      </w:pPr>
      <w:r>
        <w:rPr>
          <w:rFonts w:ascii="Times New Roman" w:hAnsi="Times New Roman"/>
          <w:b/>
          <w:color w:val="000000"/>
          <w:sz w:val="19"/>
        </w:rPr>
        <w:t>Spesifikasi MNL</w:t>
      </w:r>
    </w:p>
    <w:p>
      <w:pPr>
        <w:spacing w:before="0" w:after="80" w:line="252" w:lineRule="auto"/>
        <w:jc w:val="both"/>
      </w:pPr>
      <w:r>
        <w:rPr>
          <w:rFonts w:ascii="Times New Roman" w:hAnsi="Times New Roman"/>
          <w:sz w:val="19"/>
        </w:rPr>
        <w:t xml:space="preserve">Utilitas alternatif </w:t>
      </w:r>
      <w:r>
        <w:rPr>
          <w:rFonts w:ascii="Times New Roman" w:hAnsi="Times New Roman"/>
          <w:i/>
          <w:sz w:val="19"/>
        </w:rPr>
        <w:t>j</w:t>
      </w:r>
      <w:r>
        <w:rPr>
          <w:rFonts w:ascii="Times New Roman" w:hAnsi="Times New Roman"/>
          <w:sz w:val="19"/>
        </w:rPr>
        <w:t xml:space="preserve"> bagi responden </w:t>
      </w:r>
      <w:r>
        <w:rPr>
          <w:rFonts w:ascii="Times New Roman" w:hAnsi="Times New Roman"/>
          <w:i/>
          <w:sz w:val="19"/>
        </w:rPr>
        <w:t>i</w:t>
      </w:r>
      <w:r>
        <w:rPr>
          <w:rFonts w:ascii="Times New Roman" w:hAnsi="Times New Roman"/>
          <w:sz w:val="19"/>
        </w:rPr>
        <w:t xml:space="preserve"> dirumuskan sebagai:</w:t>
      </w:r>
    </w:p>
    <w:p>
      <w:pPr>
        <w:spacing w:before="80" w:after="80"/>
        <w:jc w:val="center"/>
      </w:pPr>
      <w:r>
        <w:rPr>
          <w:rFonts w:ascii="Times New Roman" w:hAnsi="Times New Roman"/>
          <w:i/>
          <w:sz w:val="18"/>
        </w:rPr>
        <w:t>U_{ij}=\beta_{time}Time_{ij}+\beta_{cost}Cost_{ij}+\beta_{transfer}Transfer_{ij}+\beta_{access}Access_{ij}+\beta_{comfort}Comfort_{ij}+\beta_{reliability}Reliability_{ij}.</w:t>
      </w:r>
    </w:p>
    <w:p>
      <w:pPr>
        <w:spacing w:before="0" w:after="80" w:line="252" w:lineRule="auto"/>
        <w:jc w:val="both"/>
      </w:pPr>
      <w:r>
        <w:rPr>
          <w:rFonts w:ascii="Times New Roman" w:hAnsi="Times New Roman"/>
          <w:sz w:val="19"/>
        </w:rPr>
        <w:t>Probabilitas MNL adalah:</w:t>
      </w:r>
    </w:p>
    <w:p>
      <w:pPr>
        <w:spacing w:before="80" w:after="80"/>
        <w:jc w:val="center"/>
      </w:pPr>
      <w:r>
        <w:rPr>
          <w:rFonts w:ascii="Times New Roman" w:hAnsi="Times New Roman"/>
          <w:i/>
          <w:sz w:val="18"/>
        </w:rPr>
        <w:t>P_{ij}=\frac{\exp(U_{ij})}{\sum_m\exp(U_{im})}.</w:t>
      </w:r>
    </w:p>
    <w:p>
      <w:pPr>
        <w:spacing w:before="0" w:after="80" w:line="252" w:lineRule="auto"/>
        <w:jc w:val="both"/>
      </w:pPr>
      <w:r>
        <w:rPr>
          <w:rFonts w:ascii="Times New Roman" w:hAnsi="Times New Roman"/>
          <w:sz w:val="19"/>
        </w:rPr>
        <w:t>Model utama menambahkan \(\alpha_{private}I(private)_{ij}\), dengan transportasi publik sebagai kategori acuan. Parameter diestimasi menggunakan Newton–Raphson. Inferensi utama menggunakan standard error biasa karena setiap UUID final hanya menyumbang satu observasi. Kecocokan dinilai melalui log-likelihood, McFadden ρ², AIC, dan BIC.</w:t>
      </w:r>
    </w:p>
    <w:p>
      <w:pPr>
        <w:keepNext/>
        <w:spacing w:before="160" w:after="40"/>
        <w:jc w:val="left"/>
      </w:pPr>
      <w:r>
        <w:rPr>
          <w:rFonts w:ascii="Times New Roman" w:hAnsi="Times New Roman"/>
          <w:b/>
          <w:color w:val="000000"/>
          <w:sz w:val="19"/>
        </w:rPr>
        <w:t>Analisis Sensitivitas</w:t>
      </w:r>
    </w:p>
    <w:p>
      <w:pPr>
        <w:spacing w:before="0" w:after="80" w:line="252" w:lineRule="auto"/>
        <w:jc w:val="both"/>
      </w:pPr>
      <w:r>
        <w:rPr>
          <w:rFonts w:ascii="Times New Roman" w:hAnsi="Times New Roman"/>
          <w:sz w:val="19"/>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40" w:after="80"/>
        <w:jc w:val="center"/>
      </w:pPr>
      <w:r>
        <w:rPr>
          <w:rFonts w:ascii="Times New Roman" w:hAnsi="Times New Roman"/>
          <w:b/>
          <w:color w:val="000000"/>
          <w:sz w:val="20"/>
        </w:rPr>
        <w:t>HASIL DAN PEMBAHASAN</w:t>
      </w:r>
    </w:p>
    <w:p>
      <w:pPr>
        <w:keepNext/>
        <w:spacing w:before="160" w:after="40"/>
        <w:jc w:val="left"/>
      </w:pPr>
      <w:r>
        <w:rPr>
          <w:rFonts w:ascii="Times New Roman" w:hAnsi="Times New Roman"/>
          <w:b/>
          <w:color w:val="000000"/>
          <w:sz w:val="19"/>
        </w:rPr>
        <w:t>Sampel Analisis dan Pola Pilihan</w:t>
      </w:r>
    </w:p>
    <w:p>
      <w:pPr>
        <w:spacing w:before="0" w:after="80" w:line="252" w:lineRule="auto"/>
        <w:jc w:val="both"/>
      </w:pPr>
      <w:r>
        <w:rPr>
          <w:rFonts w:ascii="Times New Roman" w:hAnsi="Times New Roman"/>
          <w:sz w:val="19"/>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GAMBAR 2. Distribusi pilihan berdasarkan kelompok moda</w:t>
      </w:r>
    </w:p>
    <w:p>
      <w:pPr>
        <w:keepNext/>
        <w:spacing w:before="160" w:after="40"/>
        <w:jc w:val="left"/>
      </w:pPr>
      <w:r>
        <w:rPr>
          <w:rFonts w:ascii="Times New Roman" w:hAnsi="Times New Roman"/>
          <w:b/>
          <w:color w:val="000000"/>
          <w:sz w:val="19"/>
        </w:rPr>
        <w:t>Variasi dan Korelasi Atribut</w:t>
      </w:r>
    </w:p>
    <w:p>
      <w:pPr>
        <w:spacing w:before="0" w:after="80" w:line="252" w:lineRule="auto"/>
        <w:jc w:val="both"/>
      </w:pPr>
      <w:r>
        <w:rPr>
          <w:rFonts w:ascii="Times New Roman" w:hAnsi="Times New Roman"/>
          <w:sz w:val="19"/>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GAMBAR 3. Variasi dalam choice set (Panel A) dan korelasi atribut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Hasil Estimasi MNL</w:t>
      </w:r>
    </w:p>
    <w:p>
      <w:pPr>
        <w:keepNext/>
        <w:spacing w:before="40" w:after="160"/>
        <w:jc w:val="center"/>
      </w:pPr>
      <w:r>
        <w:rPr>
          <w:rFonts w:ascii="Times New Roman" w:hAnsi="Times New Roman"/>
          <w:b/>
          <w:color w:val="000000"/>
          <w:sz w:val="18"/>
        </w:rPr>
        <w:t>TABEL 4. Estimasi model dasar dan model dengan ASC kendaraan pribadi</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Model dasar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signifikan pada 5% (|t|&gt;1.96); SE biasa dalam tanda kurung.</w:t>
      </w:r>
    </w:p>
    <w:p>
      <w:pPr>
        <w:spacing w:before="0" w:after="80" w:line="252" w:lineRule="auto"/>
        <w:jc w:val="both"/>
      </w:pPr>
      <w:r>
        <w:rPr>
          <w:rFonts w:ascii="Times New Roman" w:hAnsi="Times New Roman"/>
          <w:sz w:val="19"/>
        </w:rPr>
        <w:t>ASC meningkatkan log-likelihood dan menurunkan AIC, walaupun peningkatan ρ² dari 0.0397 menjadi 0.0514 tetap menunjukkan daya jelas rendah. ASC kendaraan pribadi positif dan signifikan (β=0.610), sehingga terdapat kecenderungan terhadap kendaraan pribadi yang tidak dijelaskan oleh atribut terukur. Keandalan positif dan signifikan sesuai teori. Waktu dan biaya negatif tetapi tidak signifikan.</w:t>
      </w:r>
    </w:p>
    <w:p>
      <w:pPr>
        <w:spacing w:before="0" w:after="80" w:line="252" w:lineRule="auto"/>
        <w:jc w:val="both"/>
      </w:pPr>
      <w:r>
        <w:rPr>
          <w:rFonts w:ascii="Times New Roman" w:hAnsi="Times New Roman"/>
          <w:sz w:val="19"/>
        </w:rPr>
        <w:t>Jarak akses positif dan signifikan berlawanan dengan teori. Hasil ini tidak ditafsirkan bahwa pengguna menyukai akses yang lebih jauh. Nilai akses nol pada kendaraan pribadi, perbedaan cakupan jaringan, dan proksi atribut berbasis sistem dapat menyebabkan parameter menangkap struktur alternatif atau faktor lokasi yang tidak dimodelkan. Kenyamanan kehilangan signifikansi setelah ASC ditambahkan, menunjukkan kemungkinan keterkaitan proksi kenyamanan dengan identitas moda.</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4. Koefisien model MNL+ASC dan interval kepercayaan 95%</w:t>
      </w:r>
    </w:p>
    <w:p>
      <w:pPr>
        <w:keepNext/>
        <w:spacing w:before="160" w:after="40"/>
        <w:jc w:val="left"/>
      </w:pPr>
      <w:r>
        <w:rPr>
          <w:rFonts w:ascii="Times New Roman" w:hAnsi="Times New Roman"/>
          <w:b/>
          <w:color w:val="000000"/>
          <w:sz w:val="19"/>
        </w:rPr>
        <w:t>Sensitivitas dan Pemilihan Model</w:t>
      </w:r>
    </w:p>
    <w:p>
      <w:pPr>
        <w:keepNext/>
        <w:spacing w:before="40" w:after="160"/>
        <w:jc w:val="center"/>
      </w:pPr>
      <w:r>
        <w:rPr>
          <w:rFonts w:ascii="Times New Roman" w:hAnsi="Times New Roman"/>
          <w:b/>
          <w:color w:val="000000"/>
          <w:sz w:val="18"/>
        </w:rPr>
        <w:t>TABEL 5. Analisis sensitivitas spesifikasi</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Spesifikasi</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Penuh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 &amp;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Tanpa transportasi nonpublik berbayar†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†N=298 sehingga AIC/BIC tidak dibandingkan langsung dengan model N=318.</w:t>
      </w:r>
    </w:p>
    <w:p>
      <w:pPr>
        <w:spacing w:before="0" w:after="80" w:line="252" w:lineRule="auto"/>
        <w:jc w:val="both"/>
      </w:pPr>
      <w:r>
        <w:rPr>
          <w:rFonts w:ascii="Times New Roman" w:hAnsi="Times New Roman"/>
          <w:sz w:val="19"/>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5. AIC dan BIC untuk model dengan sampel yang sama</w:t>
      </w:r>
    </w:p>
    <w:p>
      <w:pPr>
        <w:spacing w:before="0" w:after="80" w:line="252" w:lineRule="auto"/>
        <w:jc w:val="both"/>
      </w:pPr>
      <w:r>
        <w:rPr>
          <w:rFonts w:ascii="Times New Roman" w:hAnsi="Times New Roman"/>
          <w:sz w:val="19"/>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6396700"/>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486400" cy="6396700"/>
                    </a:xfrm>
                    <a:prstGeom prst="rect"/>
                  </pic:spPr>
                </pic:pic>
              </a:graphicData>
            </a:graphic>
          </wp:inline>
        </w:drawing>
      </w:r>
    </w:p>
    <w:p>
      <w:pPr>
        <w:keepNext w:val="0"/>
        <w:spacing w:before="40" w:after="160"/>
        <w:jc w:val="center"/>
      </w:pPr>
      <w:r>
        <w:rPr>
          <w:rFonts w:ascii="Times New Roman" w:hAnsi="Times New Roman"/>
          <w:b/>
          <w:color w:val="000000"/>
          <w:sz w:val="18"/>
        </w:rPr>
        <w:t>GAMBAR 6. Stabilitas koefisien relatif terhadap model penuh</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Implikasi dan Keterbatasan</w:t>
      </w:r>
    </w:p>
    <w:p>
      <w:pPr>
        <w:spacing w:before="0" w:after="80" w:line="252" w:lineRule="auto"/>
        <w:jc w:val="both"/>
      </w:pPr>
      <w:r>
        <w:rPr>
          <w:rFonts w:ascii="Times New Roman" w:hAnsi="Times New Roman"/>
          <w:sz w:val="19"/>
        </w:rPr>
        <w:t>Hasil mendukung prioritas pada keandalan: jadwal yang lebih dapat diprediksi dan informasi kedatangan yang konsisten berpotensi memperkuat daya tarik transportasi publik. ASC positif mengindikasikan bahwa kebiasaan, privasi, fleksibilitas, ketersediaan kendaraan, atau faktor tak teramati lain masih menguntungkan kendaraan pribadi. Kebijakan sebaiknya tidak hanya mengejar waktu tempuh, tetapi juga mengurangi ketidakpastian dan hambatan transfer.</w:t>
      </w:r>
    </w:p>
    <w:p>
      <w:pPr>
        <w:spacing w:before="0" w:after="80" w:line="252" w:lineRule="auto"/>
        <w:jc w:val="both"/>
      </w:pPr>
      <w:r>
        <w:rPr>
          <w:rFonts w:ascii="Times New Roman" w:hAnsi="Times New Roman"/>
          <w:sz w:val="19"/>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w:t>
      </w:r>
    </w:p>
    <w:p>
      <w:pPr>
        <w:keepNext/>
        <w:spacing w:before="240" w:after="80"/>
        <w:jc w:val="center"/>
      </w:pPr>
      <w:r>
        <w:rPr>
          <w:rFonts w:ascii="Times New Roman" w:hAnsi="Times New Roman"/>
          <w:b/>
          <w:color w:val="000000"/>
          <w:sz w:val="20"/>
        </w:rPr>
        <w:t>KESIMPULAN</w:t>
      </w:r>
    </w:p>
    <w:p>
      <w:pPr>
        <w:spacing w:before="0" w:after="80" w:line="252" w:lineRule="auto"/>
        <w:jc w:val="both"/>
      </w:pPr>
      <w:r>
        <w:rPr>
          <w:rFonts w:ascii="Times New Roman" w:hAnsi="Times New Roman"/>
          <w:sz w:val="19"/>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80" w:line="252" w:lineRule="auto"/>
        <w:jc w:val="both"/>
      </w:pPr>
      <w:r>
        <w:rPr>
          <w:rFonts w:ascii="Times New Roman" w:hAnsi="Times New Roman"/>
          <w:sz w:val="19"/>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40" w:after="80"/>
        <w:jc w:val="center"/>
      </w:pPr>
      <w:r>
        <w:rPr>
          <w:rFonts w:ascii="Times New Roman" w:hAnsi="Times New Roman"/>
          <w:b/>
          <w:color w:val="000000"/>
          <w:sz w:val="20"/>
        </w:rPr>
        <w:t>PENGHARGAAN</w:t>
      </w:r>
    </w:p>
    <w:p>
      <w:pPr>
        <w:spacing w:before="0" w:after="80" w:line="252" w:lineRule="auto"/>
        <w:jc w:val="both"/>
      </w:pPr>
      <w:r>
        <w:rPr>
          <w:rFonts w:ascii="Times New Roman" w:hAnsi="Times New Roman"/>
          <w:sz w:val="19"/>
        </w:rPr>
        <w:t>Penelitian ini didukung oleh `[NAMA PEMBERI DANA]` melalui hibah nomor `[NOMOR HIBAH]`.</w:t>
      </w:r>
    </w:p>
    <w:p>
      <w:pPr>
        <w:keepNext/>
        <w:spacing w:before="240" w:after="80"/>
        <w:jc w:val="center"/>
      </w:pPr>
      <w:r>
        <w:rPr>
          <w:rFonts w:ascii="Times New Roman" w:hAnsi="Times New Roman"/>
          <w:b/>
          <w:color w:val="000000"/>
          <w:sz w:val="20"/>
        </w:rPr>
        <w:t>PERNYATAAN KEPENTINGAN BERSAING</w:t>
      </w:r>
    </w:p>
    <w:p>
      <w:pPr>
        <w:spacing w:before="0" w:after="80" w:line="252" w:lineRule="auto"/>
        <w:jc w:val="both"/>
      </w:pPr>
      <w:r>
        <w:rPr>
          <w:rFonts w:ascii="Times New Roman" w:hAnsi="Times New Roman"/>
          <w:sz w:val="19"/>
        </w:rPr>
        <w:t>Tidak ada.</w:t>
      </w:r>
    </w:p>
    <w:p>
      <w:pPr>
        <w:keepNext/>
        <w:spacing w:before="240" w:after="80"/>
        <w:jc w:val="center"/>
      </w:pPr>
      <w:r>
        <w:rPr>
          <w:rFonts w:ascii="Times New Roman" w:hAnsi="Times New Roman"/>
          <w:b/>
          <w:color w:val="000000"/>
          <w:sz w:val="20"/>
        </w:rPr>
        <w:t>REFERENSI</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