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Times New Roman" w:hAnsi="Times New Roman"/>
          <w:color w:val="6E6E6E"/>
          <w:sz w:val="17"/>
        </w:rPr>
        <w:t>Jurnal Kejuruteraan (Journal of Engineering) Online First | ISSN: 0128-0198 E-ISSN: 2289-7526</w:t>
      </w:r>
    </w:p>
    <w:p>
      <w:pPr>
        <w:spacing w:before="280" w:after="240"/>
        <w:jc w:val="center"/>
      </w:pPr>
      <w:r>
        <w:rPr>
          <w:rFonts w:ascii="Times New Roman" w:hAnsi="Times New Roman"/>
          <w:b/>
          <w:color w:val="000000"/>
          <w:sz w:val="28"/>
        </w:rPr>
        <w:t>Mode Choice Modelling in Palembang’s Integrated Public Transport Network Using Multinomial Logit</w:t>
      </w:r>
    </w:p>
    <w:p>
      <w:pPr>
        <w:spacing w:before="200" w:after="120"/>
        <w:jc w:val="center"/>
      </w:pPr>
      <w:r>
        <w:rPr>
          <w:rFonts w:ascii="Times New Roman" w:hAnsi="Times New Roman"/>
          <w:b/>
          <w:color w:val="000000"/>
          <w:sz w:val="21"/>
        </w:rPr>
        <w:t>ABSTRACT</w:t>
      </w:r>
    </w:p>
    <w:p>
      <w:pPr>
        <w:spacing w:before="0" w:after="80" w:line="252" w:lineRule="auto"/>
        <w:jc w:val="both"/>
      </w:pPr>
      <w:r>
        <w:rPr>
          <w:rFonts w:ascii="Times New Roman" w:hAnsi="Times New Roman"/>
          <w:sz w:val="20"/>
        </w:rPr>
        <w:t>Service integration does not automatically increase public transport use unless the attributes considered by travellers are understood. This study analyses mode choice within Palembang’s integrated LRT Sumsel, Teman Bus, and Angkot Feeder network using a multinomial logit model. The survey was conducted from 1 August to 16 September 2026 among 400 respondents who lived and routinely travelled in Palembang and knew the available transport options. Each respondent specified an origin and destination for a routine trip; the application then generated public transport, private-vehicle, and paid non-public transport alternatives characterised by travel time, cost, transfers, access distance, comfort, and reliability. Following data auditing, consolidation of identical alternatives, and exclusion of singleton choice sets and extreme values, 318 observations were retained. Adding a private-vehicle alternative-specific constant improved fit over the basic model (McFadden ρ²=0.0514; AIC=518.10). Reliability had a positive significant effect (β=0.353; p&lt;0.05), while the private-vehicle constant was also positive and significant (β=0.610; p&lt;0.05), indicating a baseline inclination towards private vehicles beyond measured attributes. Access distance was positive and significant but contrary to theory and was therefore not interpreted causally. Time, cost, and transfers were insignificant; removing transfers did not significantly reduce model fit (p=0.3790). The findings emphasise service reliability and unobserved preferences, while showing that system-derived attributes and intended choices require validation against operational data and realised travel before the model informs policy recommendations or application personalisation.</w:t>
      </w:r>
    </w:p>
    <w:p>
      <w:pPr>
        <w:spacing w:before="80" w:after="280"/>
      </w:pPr>
      <w:r>
        <w:rPr>
          <w:rFonts w:ascii="Times New Roman" w:hAnsi="Times New Roman"/>
          <w:sz w:val="19"/>
        </w:rPr>
      </w:r>
      <w:r>
        <w:rPr>
          <w:rFonts w:ascii="Times New Roman" w:hAnsi="Times New Roman"/>
          <w:b/>
          <w:sz w:val="19"/>
        </w:rPr>
        <w:t>Keywords:</w:t>
      </w:r>
      <w:r>
        <w:rPr>
          <w:rFonts w:ascii="Times New Roman" w:hAnsi="Times New Roman"/>
          <w:sz w:val="19"/>
        </w:rPr>
        <w:t xml:space="preserve"> mode choice; multinomial logit; integrated public transport; reliability; Palembang</w:t>
      </w:r>
    </w:p>
    <w:p>
      <w:pPr>
        <w:sectPr>
          <w:pgSz w:w="11909" w:h="16834"/>
          <w:pgMar w:top="1440" w:right="1440" w:bottom="1440" w:left="1440" w:header="720" w:footer="720" w:gutter="0"/>
          <w:docGrid w:linePitch="360"/>
          <w:cols w:num="1" w:space="708"/>
        </w:sectPr>
      </w:pPr>
    </w:p>
    <w:p>
      <w:pPr>
        <w:keepNext/>
        <w:spacing w:before="240" w:after="80"/>
        <w:jc w:val="center"/>
      </w:pPr>
      <w:r>
        <w:rPr>
          <w:rFonts w:ascii="Times New Roman" w:hAnsi="Times New Roman"/>
          <w:b/>
          <w:color w:val="000000"/>
          <w:sz w:val="20"/>
        </w:rPr>
        <w:t>INTRODUCTION</w:t>
      </w:r>
    </w:p>
    <w:p>
      <w:pPr>
        <w:spacing w:before="0" w:after="80" w:line="252" w:lineRule="auto"/>
        <w:jc w:val="both"/>
      </w:pPr>
      <w:r>
        <w:rPr>
          <w:rFonts w:ascii="Times New Roman" w:hAnsi="Times New Roman"/>
          <w:sz w:val="19"/>
        </w:rPr>
        <w:t>Urban public transport must provide connectivity and service quality capable of competing with private vehicles. In Palembang, LRT Sumsel, Teman Bus, and Angkot Feeder form a network that enables intermodal trips. Network availability alone, however, does not explain how users value time, cost, transfers, access, comfort, and reliability when choosing a mode. Behavioural analysis is required so that service integration extends beyond infrastructure provision.</w:t>
      </w:r>
    </w:p>
    <w:p>
      <w:pPr>
        <w:spacing w:before="0" w:after="80" w:line="252" w:lineRule="auto"/>
        <w:jc w:val="both"/>
      </w:pPr>
      <w:r>
        <w:rPr>
          <w:rFonts w:ascii="Times New Roman" w:hAnsi="Times New Roman"/>
          <w:sz w:val="19"/>
        </w:rPr>
        <w:t>Random utility theory represents choice as a comparison of alternative utilities (McFadden 1974; Ben-Akiva &amp; Lerman 1985). Multinomial Logit (MNL) remains the cornerstone of contemporary mode-choice modelling because it connects choice probabilities directly to travel attributes and permits parameter estimation via maximum likelihood (Train 2009; Zhao et al. 2020). Recent literature indicates that travel time and monetary cost represent primary sources of disutility, whereas operational reliability, service quality, and comfort significantly enhance the attractiveness of public transport options (Eldeeb &amp; Mohamed 2020; Ranjan &amp; Sinha 2024). Moreover, transfer convenience and first-mile/last-mile access distance have consistently been identified as critical determinants governing willingness to shift from private motor vehicles to integrated rail and feeder transit systems (Lu et al. 2023; Ramos-Santiago 2022; Lieu &amp; Akar 2025).</w:t>
      </w:r>
    </w:p>
    <w:p>
      <w:pPr>
        <w:spacing w:before="0" w:after="80" w:line="252" w:lineRule="auto"/>
        <w:jc w:val="both"/>
      </w:pPr>
      <w:r>
        <w:rPr>
          <w:rFonts w:ascii="Times New Roman" w:hAnsi="Times New Roman"/>
          <w:sz w:val="19"/>
        </w:rPr>
        <w:t>Nevertheless, basic multinomial logit models face well-known challenges in capturing unobserved intrinsic preferences. Travel mode choices are frequently shaped by habits, modal availability, or perceived flexibility that are not fully reflected in service-level variables alone (Zhao et al. 2020; Ranjan &amp; Sinha 2024). Consequently, incorporating alternative-specific constants (ASCs) is essential to disentangle innate modal bias from the marginal utility of measured level-of-service attributes (Ben-Akiva &amp; Lerman 1985; Train 2009). Furthermore, constructing choice sets that reflect realistic, routine travel activities specified by travelers themselves provides a more grounded behavioral context for empirical estimation (Lu et al. 2023).</w:t>
      </w:r>
    </w:p>
    <w:p>
      <w:pPr>
        <w:spacing w:before="0" w:after="80" w:line="252" w:lineRule="auto"/>
        <w:jc w:val="both"/>
      </w:pPr>
      <w:r>
        <w:rPr>
          <w:rFonts w:ascii="Times New Roman" w:hAnsi="Times New Roman"/>
          <w:sz w:val="19"/>
        </w:rPr>
        <w:t>This study uses a route-search application as an instrument to generate choice sets for respondent-defined routine origin–destination pairs. Dijkstra’s algorithm (Dijkstra 1959) only generates alternatives; the main contribution is the estimation of mode-choice determinants. The objectives are to: (1) describe choices across mode groups; (2) estimate a basic MNL and an MNL with a private-vehicle alternative-specific constant (ASC); and (3) examine robustness through reduced specifications and sample sensitivity.</w:t>
      </w:r>
    </w:p>
    <w:p>
      <w:pPr>
        <w:keepNext/>
        <w:spacing w:before="240" w:after="80"/>
        <w:jc w:val="center"/>
      </w:pPr>
      <w:r>
        <w:rPr>
          <w:rFonts w:ascii="Times New Roman" w:hAnsi="Times New Roman"/>
          <w:b/>
          <w:color w:val="000000"/>
          <w:sz w:val="20"/>
        </w:rPr>
        <w:t>METHODOLOGY</w:t>
      </w:r>
    </w:p>
    <w:p>
      <w:pPr>
        <w:keepNext/>
        <w:spacing w:before="160" w:after="40"/>
        <w:jc w:val="left"/>
      </w:pPr>
      <w:r>
        <w:rPr>
          <w:rFonts w:ascii="Times New Roman" w:hAnsi="Times New Roman"/>
          <w:b/>
          <w:color w:val="000000"/>
          <w:sz w:val="19"/>
        </w:rPr>
        <w:t>Study Context and Transport Network</w:t>
      </w:r>
    </w:p>
    <w:p>
      <w:pPr>
        <w:spacing w:before="0" w:after="80" w:line="252" w:lineRule="auto"/>
        <w:jc w:val="both"/>
      </w:pPr>
      <w:r>
        <w:rPr>
          <w:rFonts w:ascii="Times New Roman" w:hAnsi="Times New Roman"/>
          <w:sz w:val="19"/>
        </w:rPr>
        <w:t>The study concerns routine trips in Palembang. The application network includes eight Angkot Feeder corridors, two Teman Bus corridors, and LRT Sumsel. Alternatives are grouped as public transport, private vehicles, and paid non-public transport. The last category includes demand-responsive or hired services outside the public transport network and is not treated as private-vehicle ownership.</w:t>
      </w:r>
    </w:p>
    <w:p>
      <w:pPr>
        <w:keepNext/>
        <w:spacing w:before="160" w:after="40"/>
        <w:jc w:val="left"/>
      </w:pPr>
      <w:r>
        <w:rPr>
          <w:rFonts w:ascii="Times New Roman" w:hAnsi="Times New Roman"/>
          <w:b/>
          <w:color w:val="000000"/>
          <w:sz w:val="19"/>
        </w:rPr>
        <w:t>Application-Generated Choice Sets</w:t>
      </w:r>
    </w:p>
    <w:p>
      <w:pPr>
        <w:spacing w:before="0" w:after="80" w:line="252" w:lineRule="auto"/>
        <w:jc w:val="both"/>
      </w:pPr>
      <w:r>
        <w:rPr>
          <w:rFonts w:ascii="Times New Roman" w:hAnsi="Times New Roman"/>
          <w:sz w:val="19"/>
        </w:rPr>
        <w:t>Respondents specified origins and destinations representing their routine activities. Departure time was automatically set to the survey or interview time. The application connected these points to the network, ran Dijkstra routing, calculated access and transfer legs, and displayed several alternatives with the same six attributes. Respondents selected one preferred alternative before travelling; subsequent trip realisation was not verified.</w:t>
      </w:r>
    </w:p>
    <w:p>
      <w:pPr>
        <w:sectPr>
          <w:pgSz w:w="11909" w:h="16834"/>
          <w:pgMar w:top="1440" w:right="1440" w:bottom="1440" w:left="1440" w:header="720" w:footer="720" w:gutter="0"/>
          <w:docGrid w:linePitch="360"/>
          <w:type w:val="continuous"/>
          <w:cols w:num="2" w:space="708"/>
        </w:sectPr>
      </w:pPr>
    </w:p>
    <w:p>
      <w:pPr>
        <w:keepNext/>
        <w:spacing w:before="160" w:after="40"/>
        <w:jc w:val="center"/>
      </w:pPr>
      <w:r>
        <w:drawing>
          <wp:inline xmlns:a="http://schemas.openxmlformats.org/drawingml/2006/main" xmlns:pic="http://schemas.openxmlformats.org/drawingml/2006/picture">
            <wp:extent cx="5486400" cy="5084556"/>
            <wp:docPr id="1" name="Picture 1"/>
            <wp:cNvGraphicFramePr>
              <a:graphicFrameLocks noChangeAspect="1"/>
            </wp:cNvGraphicFramePr>
            <a:graphic>
              <a:graphicData uri="http://schemas.openxmlformats.org/drawingml/2006/picture">
                <pic:pic>
                  <pic:nvPicPr>
                    <pic:cNvPr id="0" name="figure_01_research_flow.png"/>
                    <pic:cNvPicPr/>
                  </pic:nvPicPr>
                  <pic:blipFill>
                    <a:blip r:embed="rId9"/>
                    <a:stretch>
                      <a:fillRect/>
                    </a:stretch>
                  </pic:blipFill>
                  <pic:spPr>
                    <a:xfrm>
                      <a:off x="0" y="0"/>
                      <a:ext cx="5486400" cy="5084556"/>
                    </a:xfrm>
                    <a:prstGeom prst="rect"/>
                  </pic:spPr>
                </pic:pic>
              </a:graphicData>
            </a:graphic>
          </wp:inline>
        </w:drawing>
      </w:r>
    </w:p>
    <w:p>
      <w:pPr>
        <w:keepNext w:val="0"/>
        <w:spacing w:before="40" w:after="160"/>
        <w:jc w:val="center"/>
      </w:pPr>
      <w:r>
        <w:rPr>
          <w:rFonts w:ascii="Times New Roman" w:hAnsi="Times New Roman"/>
          <w:b/>
          <w:color w:val="000000"/>
          <w:sz w:val="18"/>
        </w:rPr>
        <w:t>FIGURE 1. Route-alternative generation, choice collection, data audit, and MNL estimation</w:t>
      </w:r>
    </w:p>
    <w:p>
      <w:pPr>
        <w:sectPr>
          <w:pgSz w:w="11909" w:h="16834"/>
          <w:pgMar w:top="1440" w:right="1440" w:bottom="1440" w:left="1440" w:header="720" w:footer="720" w:gutter="0"/>
          <w:docGrid w:linePitch="360"/>
          <w:type w:val="continuous"/>
          <w:cols w:num="1" w:space="708"/>
        </w:sectPr>
      </w:pPr>
    </w:p>
    <w:p>
      <w:pPr>
        <w:keepNext/>
        <w:spacing w:before="160" w:after="40"/>
        <w:jc w:val="left"/>
      </w:pPr>
      <w:r>
        <w:rPr>
          <w:rFonts w:ascii="Times New Roman" w:hAnsi="Times New Roman"/>
          <w:b/>
          <w:color w:val="000000"/>
          <w:sz w:val="19"/>
        </w:rPr>
        <w:t>Survey Design and Data Collection</w:t>
      </w:r>
    </w:p>
    <w:p>
      <w:pPr>
        <w:spacing w:before="0" w:after="80" w:line="252" w:lineRule="auto"/>
        <w:jc w:val="both"/>
      </w:pPr>
      <w:r>
        <w:rPr>
          <w:rFonts w:ascii="Times New Roman" w:hAnsi="Times New Roman"/>
          <w:sz w:val="19"/>
        </w:rPr>
        <w:t>The survey was conducted from 1 August to 16 September 2026 using non-probability convenience sampling. Inclusion required living and routinely engaging in activities in Palembang and knowing the available local transport choices. The instrument was administered through direct interviews with the general public, student networks, and social media. During interviews, enumerators neutrally read and explained the same questions and alternative order displayed by the application without recommending an option. Participation was voluntary, consent was obtained before completion, and data were recorded anonymously.</w:t>
      </w:r>
    </w:p>
    <w:p>
      <w:pPr>
        <w:keepNext/>
        <w:spacing w:before="160" w:after="40"/>
        <w:jc w:val="left"/>
      </w:pPr>
      <w:r>
        <w:rPr>
          <w:rFonts w:ascii="Times New Roman" w:hAnsi="Times New Roman"/>
          <w:b/>
          <w:color w:val="000000"/>
          <w:sz w:val="19"/>
        </w:rPr>
        <w:t>Variables</w:t>
      </w:r>
    </w:p>
    <w:p>
      <w:pPr>
        <w:keepNext/>
        <w:spacing w:before="40" w:after="160"/>
        <w:jc w:val="center"/>
      </w:pPr>
      <w:r>
        <w:rPr>
          <w:rFonts w:ascii="Times New Roman" w:hAnsi="Times New Roman"/>
          <w:b/>
          <w:color w:val="000000"/>
          <w:sz w:val="18"/>
        </w:rPr>
        <w:t>TABLE 1. Model-variable definitions</w:t>
      </w:r>
    </w:p>
    <w:tbl>
      <w:tblPr>
        <w:tblW w:type="auto" w:w="0"/>
        <w:jc w:val="center"/>
        <w:tblLayout w:type="fixed"/>
        <w:tblLook w:firstColumn="1" w:firstRow="1" w:lastColumn="0" w:lastRow="0" w:noHBand="0" w:noVBand="1" w:val="04A0"/>
      </w:tblPr>
      <w:tblGrid>
        <w:gridCol w:w="1440"/>
        <w:gridCol w:w="1368"/>
        <w:gridCol w:w="1368"/>
      </w:tblGrid>
      <w:tr>
        <w:trPr>
          <w:trHeight w:val="320"/>
        </w:trPr>
        <w:tc>
          <w:tcPr>
            <w:tcW w:type="dxa" w:w="1440"/>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Variable</w:t>
            </w:r>
          </w:p>
        </w:tc>
        <w:tc>
          <w:tcPr>
            <w:tcW w:type="dxa" w:w="1368"/>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Definition and unit</w:t>
            </w:r>
          </w:p>
        </w:tc>
        <w:tc>
          <w:tcPr>
            <w:tcW w:type="dxa" w:w="1368"/>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Expected sign</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Time</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Total travel time, minutes</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Cost</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Total travel cost, Indonesian rupiah</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Transfers</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Number of vehicle changes</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Access distance</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First/last-mile distance, km</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Comfort</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System score, 0–5</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Reliability</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System score, 0–5</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w:t>
            </w:r>
          </w:p>
        </w:tc>
      </w:tr>
      <w:tr>
        <w:trPr>
          <w:trHeight w:val="280"/>
        </w:trPr>
        <w:tc>
          <w:tcPr>
            <w:tcW w:type="dxa" w:w="1440"/>
            <w:vAlign w:val="center"/>
            <w:tcBorders>
              <w:top w:val="none" w:sz="4" w:space="0" w:color="000000"/>
              <w:left w:val="none" w:sz="4" w:space="0" w:color="000000"/>
              <w:bottom w:val="single" w:sz="12" w:space="0" w:color="000000"/>
              <w:right w:val="none" w:sz="4" w:space="0" w:color="000000"/>
            </w:tcBorders>
          </w:tcPr>
          <w:p>
            <w:pPr>
              <w:spacing w:before="30" w:after="30"/>
              <w:jc w:val="left"/>
            </w:pPr>
            <w:r>
              <w:rPr>
                <w:rFonts w:ascii="Times New Roman" w:hAnsi="Times New Roman"/>
                <w:color w:val="000000"/>
                <w:sz w:val="16"/>
              </w:rPr>
              <w:t>Private-vehicle ASC</w:t>
            </w:r>
          </w:p>
        </w:tc>
        <w:tc>
          <w:tcPr>
            <w:tcW w:type="dxa" w:w="1368"/>
            <w:vAlign w:val="center"/>
            <w:tcBorders>
              <w:top w:val="none" w:sz="4" w:space="0" w:color="000000"/>
              <w:left w:val="none" w:sz="4" w:space="0" w:color="000000"/>
              <w:bottom w:val="single" w:sz="12" w:space="0" w:color="000000"/>
              <w:right w:val="none" w:sz="4" w:space="0" w:color="000000"/>
            </w:tcBorders>
          </w:tcPr>
          <w:p>
            <w:pPr>
              <w:spacing w:before="30" w:after="30"/>
              <w:jc w:val="left"/>
            </w:pPr>
            <w:r>
              <w:rPr>
                <w:rFonts w:ascii="Times New Roman" w:hAnsi="Times New Roman"/>
                <w:color w:val="000000"/>
                <w:sz w:val="16"/>
              </w:rPr>
              <w:t>Private-vehicle indicator</w:t>
            </w:r>
          </w:p>
        </w:tc>
        <w:tc>
          <w:tcPr>
            <w:tcW w:type="dxa" w:w="1368"/>
            <w:vAlign w:val="center"/>
            <w:tcBorders>
              <w:top w:val="none" w:sz="4" w:space="0" w:color="000000"/>
              <w:left w:val="none" w:sz="4" w:space="0" w:color="000000"/>
              <w:bottom w:val="single" w:sz="12" w:space="0" w:color="000000"/>
              <w:right w:val="none" w:sz="4" w:space="0" w:color="000000"/>
            </w:tcBorders>
          </w:tcPr>
          <w:p>
            <w:pPr>
              <w:spacing w:before="30" w:after="30"/>
              <w:jc w:val="left"/>
            </w:pPr>
            <w:r>
              <w:rPr>
                <w:rFonts w:ascii="Times New Roman" w:hAnsi="Times New Roman"/>
                <w:color w:val="000000"/>
                <w:sz w:val="16"/>
              </w:rPr>
              <w:t>Unrestricted</w:t>
            </w:r>
          </w:p>
        </w:tc>
      </w:tr>
    </w:tbl>
    <w:p>
      <w:pPr>
        <w:spacing w:before="0" w:after="80"/>
      </w:pPr>
    </w:p>
    <w:p>
      <w:pPr>
        <w:spacing w:before="0" w:after="80" w:line="252" w:lineRule="auto"/>
        <w:jc w:val="both"/>
      </w:pPr>
      <w:r>
        <w:rPr>
          <w:rFonts w:ascii="Times New Roman" w:hAnsi="Times New Roman"/>
          <w:sz w:val="19"/>
        </w:rPr>
        <w:t>Comfort and reliability are system parameters assigned by mode rather than objective field measurements. They are therefore treated as proxies and discussed as a limitation.</w:t>
      </w:r>
    </w:p>
    <w:p>
      <w:pPr>
        <w:keepNext/>
        <w:spacing w:before="40" w:after="160"/>
        <w:jc w:val="center"/>
      </w:pPr>
      <w:r>
        <w:rPr>
          <w:rFonts w:ascii="Times New Roman" w:hAnsi="Times New Roman"/>
          <w:b/>
          <w:color w:val="000000"/>
          <w:sz w:val="18"/>
        </w:rPr>
        <w:t>TABLE 2. Characteristics of the 318 respondents in the analytical sample</w:t>
      </w:r>
    </w:p>
    <w:tbl>
      <w:tblPr>
        <w:tblW w:type="auto" w:w="0"/>
        <w:jc w:val="center"/>
        <w:tblLayout w:type="fixed"/>
        <w:tblLook w:firstColumn="1" w:firstRow="1" w:lastColumn="0" w:lastRow="0" w:noHBand="0" w:noVBand="1" w:val="04A0"/>
      </w:tblPr>
      <w:tblGrid>
        <w:gridCol w:w="1440"/>
        <w:gridCol w:w="1368"/>
        <w:gridCol w:w="1368"/>
      </w:tblGrid>
      <w:tr>
        <w:trPr>
          <w:trHeight w:val="320"/>
        </w:trPr>
        <w:tc>
          <w:tcPr>
            <w:tcW w:type="dxa" w:w="1440"/>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Characteristic</w:t>
            </w:r>
          </w:p>
        </w:tc>
        <w:tc>
          <w:tcPr>
            <w:tcW w:type="dxa" w:w="1368"/>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Dominant category</w:t>
            </w:r>
          </w:p>
        </w:tc>
        <w:tc>
          <w:tcPr>
            <w:tcW w:type="dxa" w:w="1368"/>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n (%)</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Gender</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Female</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157 (49.4)</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Occupation</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Student</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204 (64.2)</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Monthly income</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&lt;IDR1 million</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142 (44.7)</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Vehicle ownership</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Motorcycle</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164 (51.6)</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Trip purpose</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School/university</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164 (51.6)</w:t>
            </w:r>
          </w:p>
        </w:tc>
      </w:tr>
      <w:tr>
        <w:trPr>
          <w:trHeight w:val="280"/>
        </w:trPr>
        <w:tc>
          <w:tcPr>
            <w:tcW w:type="dxa" w:w="1440"/>
            <w:vAlign w:val="center"/>
            <w:tcBorders>
              <w:top w:val="none" w:sz="4" w:space="0" w:color="000000"/>
              <w:left w:val="none" w:sz="4" w:space="0" w:color="000000"/>
              <w:bottom w:val="single" w:sz="12" w:space="0" w:color="000000"/>
              <w:right w:val="none" w:sz="4" w:space="0" w:color="000000"/>
            </w:tcBorders>
          </w:tcPr>
          <w:p>
            <w:pPr>
              <w:spacing w:before="30" w:after="30"/>
              <w:jc w:val="left"/>
            </w:pPr>
            <w:r>
              <w:rPr>
                <w:rFonts w:ascii="Times New Roman" w:hAnsi="Times New Roman"/>
                <w:color w:val="000000"/>
                <w:sz w:val="16"/>
              </w:rPr>
              <w:t>Public transport frequency</w:t>
            </w:r>
          </w:p>
        </w:tc>
        <w:tc>
          <w:tcPr>
            <w:tcW w:type="dxa" w:w="1368"/>
            <w:vAlign w:val="center"/>
            <w:tcBorders>
              <w:top w:val="none" w:sz="4" w:space="0" w:color="000000"/>
              <w:left w:val="none" w:sz="4" w:space="0" w:color="000000"/>
              <w:bottom w:val="single" w:sz="12" w:space="0" w:color="000000"/>
              <w:right w:val="none" w:sz="4" w:space="0" w:color="000000"/>
            </w:tcBorders>
          </w:tcPr>
          <w:p>
            <w:pPr>
              <w:spacing w:before="30" w:after="30"/>
              <w:jc w:val="left"/>
            </w:pPr>
            <w:r>
              <w:rPr>
                <w:rFonts w:ascii="Times New Roman" w:hAnsi="Times New Roman"/>
                <w:color w:val="000000"/>
                <w:sz w:val="16"/>
              </w:rPr>
              <w:t>Several times a week</w:t>
            </w:r>
          </w:p>
        </w:tc>
        <w:tc>
          <w:tcPr>
            <w:tcW w:type="dxa" w:w="1368"/>
            <w:vAlign w:val="center"/>
            <w:tcBorders>
              <w:top w:val="none" w:sz="4" w:space="0" w:color="000000"/>
              <w:left w:val="none" w:sz="4" w:space="0" w:color="000000"/>
              <w:bottom w:val="single" w:sz="12" w:space="0" w:color="000000"/>
              <w:right w:val="none" w:sz="4" w:space="0" w:color="000000"/>
            </w:tcBorders>
          </w:tcPr>
          <w:p>
            <w:pPr>
              <w:spacing w:before="30" w:after="30"/>
              <w:jc w:val="left"/>
            </w:pPr>
            <w:r>
              <w:rPr>
                <w:rFonts w:ascii="Times New Roman" w:hAnsi="Times New Roman"/>
                <w:color w:val="000000"/>
                <w:sz w:val="16"/>
              </w:rPr>
              <w:t>116 (36.5)</w:t>
            </w:r>
          </w:p>
        </w:tc>
      </w:tr>
    </w:tbl>
    <w:p>
      <w:pPr>
        <w:spacing w:before="0" w:after="80"/>
      </w:pPr>
    </w:p>
    <w:p>
      <w:pPr>
        <w:spacing w:before="0" w:after="80" w:line="252" w:lineRule="auto"/>
        <w:jc w:val="both"/>
      </w:pPr>
      <w:r>
        <w:rPr>
          <w:rFonts w:ascii="Times New Roman" w:hAnsi="Times New Roman"/>
          <w:sz w:val="19"/>
        </w:rPr>
        <w:t>Eight observations lacked complete profiles; percentages use the entire analytical sample as denominator.</w:t>
      </w:r>
    </w:p>
    <w:p>
      <w:pPr>
        <w:keepNext/>
        <w:spacing w:before="160" w:after="40"/>
        <w:jc w:val="left"/>
      </w:pPr>
      <w:r>
        <w:rPr>
          <w:rFonts w:ascii="Times New Roman" w:hAnsi="Times New Roman"/>
          <w:b/>
          <w:color w:val="000000"/>
          <w:sz w:val="19"/>
        </w:rPr>
        <w:t>Data Audit and Cleaning</w:t>
      </w:r>
    </w:p>
    <w:p>
      <w:pPr>
        <w:spacing w:before="0" w:after="80" w:line="252" w:lineRule="auto"/>
        <w:jc w:val="both"/>
      </w:pPr>
      <w:r>
        <w:rPr>
          <w:rFonts w:ascii="Times New Roman" w:hAnsi="Times New Roman"/>
          <w:sz w:val="19"/>
        </w:rPr>
        <w:t>The source CSV contained 400 observations from 400 unique respondents. Alternatives with identical values across all six attributes within a choice set were consolidated because they represented the same trip despite different interface labels. Choice sets with fewer than two unique alternatives were excluded. Observations were also excluded when travel time exceeded 1,000 minutes or cost exceeded IDR100,000; these conservative thresholds clearly separated an anomalous cluster from the remaining distribution. Each final observation required exactly one chosen alternative.</w:t>
      </w:r>
    </w:p>
    <w:p>
      <w:pPr>
        <w:keepNext/>
        <w:spacing w:before="40" w:after="160"/>
        <w:jc w:val="center"/>
      </w:pPr>
      <w:r>
        <w:rPr>
          <w:rFonts w:ascii="Times New Roman" w:hAnsi="Times New Roman"/>
          <w:b/>
          <w:color w:val="000000"/>
          <w:sz w:val="18"/>
        </w:rPr>
        <w:t>TABLE 3. Construction of the analytical sample</w:t>
      </w:r>
    </w:p>
    <w:tbl>
      <w:tblPr>
        <w:tblW w:type="auto" w:w="0"/>
        <w:jc w:val="center"/>
        <w:tblLayout w:type="fixed"/>
        <w:tblLook w:firstColumn="1" w:firstRow="1" w:lastColumn="0" w:lastRow="0" w:noHBand="0" w:noVBand="1" w:val="04A0"/>
      </w:tblPr>
      <w:tblGrid>
        <w:gridCol w:w="2448"/>
        <w:gridCol w:w="1728"/>
      </w:tblGrid>
      <w:tr>
        <w:trPr>
          <w:trHeight w:val="320"/>
        </w:trPr>
        <w:tc>
          <w:tcPr>
            <w:tcW w:type="dxa" w:w="2448"/>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Stage</w:t>
            </w:r>
          </w:p>
        </w:tc>
        <w:tc>
          <w:tcPr>
            <w:tcW w:type="dxa" w:w="1728"/>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Observations</w:t>
            </w:r>
          </w:p>
        </w:tc>
      </w:tr>
      <w:tr>
        <w:trPr>
          <w:trHeight w:val="280"/>
        </w:trPr>
        <w:tc>
          <w:tcPr>
            <w:tcW w:type="dxa" w:w="244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Source data</w:t>
            </w:r>
          </w:p>
        </w:tc>
        <w:tc>
          <w:tcPr>
            <w:tcW w:type="dxa" w:w="172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400</w:t>
            </w:r>
          </w:p>
        </w:tc>
      </w:tr>
      <w:tr>
        <w:trPr>
          <w:trHeight w:val="280"/>
        </w:trPr>
        <w:tc>
          <w:tcPr>
            <w:tcW w:type="dxa" w:w="244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Excluded: extreme values</w:t>
            </w:r>
          </w:p>
        </w:tc>
        <w:tc>
          <w:tcPr>
            <w:tcW w:type="dxa" w:w="172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22</w:t>
            </w:r>
          </w:p>
        </w:tc>
      </w:tr>
      <w:tr>
        <w:trPr>
          <w:trHeight w:val="280"/>
        </w:trPr>
        <w:tc>
          <w:tcPr>
            <w:tcW w:type="dxa" w:w="244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Excluded: &lt;2 unique alternatives</w:t>
            </w:r>
          </w:p>
        </w:tc>
        <w:tc>
          <w:tcPr>
            <w:tcW w:type="dxa" w:w="172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60</w:t>
            </w:r>
          </w:p>
        </w:tc>
      </w:tr>
      <w:tr>
        <w:trPr>
          <w:trHeight w:val="280"/>
        </w:trPr>
        <w:tc>
          <w:tcPr>
            <w:tcW w:type="dxa" w:w="2448"/>
            <w:vAlign w:val="center"/>
            <w:tcBorders>
              <w:top w:val="none" w:sz="4" w:space="0" w:color="000000"/>
              <w:left w:val="none" w:sz="4" w:space="0" w:color="000000"/>
              <w:bottom w:val="single" w:sz="12" w:space="0" w:color="000000"/>
              <w:right w:val="none" w:sz="4" w:space="0" w:color="000000"/>
            </w:tcBorders>
          </w:tcPr>
          <w:p>
            <w:pPr>
              <w:spacing w:before="30" w:after="30"/>
              <w:jc w:val="left"/>
            </w:pPr>
            <w:r>
              <w:rPr>
                <w:rFonts w:ascii="Times New Roman" w:hAnsi="Times New Roman"/>
                <w:color w:val="000000"/>
                <w:sz w:val="16"/>
              </w:rPr>
              <w:t>Final analytical sample</w:t>
            </w:r>
          </w:p>
        </w:tc>
        <w:tc>
          <w:tcPr>
            <w:tcW w:type="dxa" w:w="1728"/>
            <w:vAlign w:val="center"/>
            <w:tcBorders>
              <w:top w:val="none" w:sz="4" w:space="0" w:color="000000"/>
              <w:left w:val="none" w:sz="4" w:space="0" w:color="000000"/>
              <w:bottom w:val="single" w:sz="12" w:space="0" w:color="000000"/>
              <w:right w:val="none" w:sz="4" w:space="0" w:color="000000"/>
            </w:tcBorders>
          </w:tcPr>
          <w:p>
            <w:pPr>
              <w:spacing w:before="30" w:after="30"/>
              <w:jc w:val="right"/>
            </w:pPr>
            <w:r>
              <w:rPr>
                <w:rFonts w:ascii="Times New Roman" w:hAnsi="Times New Roman"/>
                <w:color w:val="000000"/>
                <w:sz w:val="16"/>
              </w:rPr>
              <w:t>318</w:t>
            </w:r>
          </w:p>
        </w:tc>
      </w:tr>
    </w:tbl>
    <w:p>
      <w:pPr>
        <w:spacing w:before="0" w:after="80"/>
      </w:pPr>
    </w:p>
    <w:p>
      <w:pPr>
        <w:spacing w:before="0" w:after="80" w:line="252" w:lineRule="auto"/>
        <w:jc w:val="both"/>
      </w:pPr>
      <w:r>
        <w:rPr>
          <w:rFonts w:ascii="Times New Roman" w:hAnsi="Times New Roman"/>
          <w:sz w:val="19"/>
        </w:rPr>
        <w:t>A total of 136 duplicate alternative rows were consolidated, leaving 748 final alternative rows. The source SHA-256 checksum is `93fcf7d061e8e294f2ebefd8dc8a52b7b5632484085b960e30820fc615219c2a`.</w:t>
      </w:r>
    </w:p>
    <w:p>
      <w:pPr>
        <w:keepNext/>
        <w:spacing w:before="160" w:after="40"/>
        <w:jc w:val="left"/>
      </w:pPr>
      <w:r>
        <w:rPr>
          <w:rFonts w:ascii="Times New Roman" w:hAnsi="Times New Roman"/>
          <w:b/>
          <w:color w:val="000000"/>
          <w:sz w:val="19"/>
        </w:rPr>
        <w:t>MNL Specification</w:t>
      </w:r>
    </w:p>
    <w:p>
      <w:pPr>
        <w:spacing w:before="0" w:after="80" w:line="252" w:lineRule="auto"/>
        <w:jc w:val="both"/>
      </w:pPr>
      <w:r>
        <w:rPr>
          <w:rFonts w:ascii="Times New Roman" w:hAnsi="Times New Roman"/>
          <w:sz w:val="19"/>
        </w:rPr>
        <w:t>The utility of alternative $j$ for respondent $i$ is specified as:</w:t>
      </w:r>
    </w:p>
    <w:p>
      <w:pPr>
        <w:spacing w:before="80" w:after="80"/>
        <w:jc w:val="center"/>
      </w:pPr>
      <m:oMathPara>
        <m:oMath>
          <m:sSub>
            <m:e>
              <m:r>
                <m:t>U</m:t>
              </m:r>
            </m:e>
            <m:sub>
              <m:r>
                <m:t>ij</m:t>
              </m:r>
            </m:sub>
          </m:sSub>
          <m:r>
            <m:t>=</m:t>
          </m:r>
          <m:sSub>
            <m:e>
              <m:r>
                <m:t>β</m:t>
              </m:r>
            </m:e>
            <m:sub>
              <m:r>
                <m:t>time</m:t>
              </m:r>
            </m:sub>
          </m:sSub>
          <m:sSub>
            <m:e>
              <m:r>
                <m:t>Time</m:t>
              </m:r>
            </m:e>
            <m:sub>
              <m:r>
                <m:t>ij</m:t>
              </m:r>
            </m:sub>
          </m:sSub>
          <m:r>
            <m:t>+</m:t>
          </m:r>
          <m:sSub>
            <m:e>
              <m:r>
                <m:t>β</m:t>
              </m:r>
            </m:e>
            <m:sub>
              <m:r>
                <m:t>cost</m:t>
              </m:r>
            </m:sub>
          </m:sSub>
          <m:sSub>
            <m:e>
              <m:r>
                <m:t>Cost</m:t>
              </m:r>
            </m:e>
            <m:sub>
              <m:r>
                <m:t>ij</m:t>
              </m:r>
            </m:sub>
          </m:sSub>
          <m:r>
            <m:t>+</m:t>
          </m:r>
          <m:sSub>
            <m:e>
              <m:r>
                <m:t>β</m:t>
              </m:r>
            </m:e>
            <m:sub>
              <m:r>
                <m:t>transfer</m:t>
              </m:r>
            </m:sub>
          </m:sSub>
          <m:sSub>
            <m:e>
              <m:r>
                <m:t>Transfer</m:t>
              </m:r>
            </m:e>
            <m:sub>
              <m:r>
                <m:t>ij</m:t>
              </m:r>
            </m:sub>
          </m:sSub>
          <m:r>
            <m:t>+</m:t>
          </m:r>
          <m:sSub>
            <m:e>
              <m:r>
                <m:t>β</m:t>
              </m:r>
            </m:e>
            <m:sub>
              <m:r>
                <m:t>access</m:t>
              </m:r>
            </m:sub>
          </m:sSub>
          <m:sSub>
            <m:e>
              <m:r>
                <m:t>Access</m:t>
              </m:r>
            </m:e>
            <m:sub>
              <m:r>
                <m:t>ij</m:t>
              </m:r>
            </m:sub>
          </m:sSub>
          <m:r>
            <m:t>+</m:t>
          </m:r>
          <m:sSub>
            <m:e>
              <m:r>
                <m:t>β</m:t>
              </m:r>
            </m:e>
            <m:sub>
              <m:r>
                <m:t>comfort</m:t>
              </m:r>
            </m:sub>
          </m:sSub>
          <m:sSub>
            <m:e>
              <m:r>
                <m:t>Comfort</m:t>
              </m:r>
            </m:e>
            <m:sub>
              <m:r>
                <m:t>ij</m:t>
              </m:r>
            </m:sub>
          </m:sSub>
          <m:r>
            <m:t>+</m:t>
          </m:r>
          <m:sSub>
            <m:e>
              <m:r>
                <m:t>β</m:t>
              </m:r>
            </m:e>
            <m:sub>
              <m:r>
                <m:t>reliability</m:t>
              </m:r>
            </m:sub>
          </m:sSub>
          <m:sSub>
            <m:e>
              <m:r>
                <m:t>Reliability</m:t>
              </m:r>
            </m:e>
            <m:sub>
              <m:r>
                <m:t>ij</m:t>
              </m:r>
            </m:sub>
          </m:sSub>
        </m:oMath>
      </m:oMathPara>
    </w:p>
    <w:p>
      <w:pPr>
        <w:spacing w:before="0" w:after="80" w:line="252" w:lineRule="auto"/>
        <w:jc w:val="both"/>
      </w:pPr>
      <w:r>
        <w:rPr>
          <w:rFonts w:ascii="Times New Roman" w:hAnsi="Times New Roman"/>
          <w:sz w:val="19"/>
        </w:rPr>
        <w:t>The multinomial logit (MNL) probability is expressed as:</w:t>
      </w:r>
    </w:p>
    <w:p>
      <w:pPr>
        <w:spacing w:before="80" w:after="80"/>
        <w:jc w:val="center"/>
      </w:pPr>
      <m:oMathPara>
        <m:oMath>
          <m:sSub>
            <m:e>
              <m:r>
                <m:t>U</m:t>
              </m:r>
            </m:e>
            <m:sub>
              <m:r>
                <m:t>ij</m:t>
              </m:r>
            </m:sub>
          </m:sSub>
          <m:r>
            <m:t>=</m:t>
          </m:r>
          <m:sSub>
            <m:e>
              <m:r>
                <m:t>β</m:t>
              </m:r>
            </m:e>
            <m:sub>
              <m:r>
                <m:t>time</m:t>
              </m:r>
            </m:sub>
          </m:sSub>
          <m:sSub>
            <m:e>
              <m:r>
                <m:t>Time</m:t>
              </m:r>
            </m:e>
            <m:sub>
              <m:r>
                <m:t>ij</m:t>
              </m:r>
            </m:sub>
          </m:sSub>
          <m:r>
            <m:t>+</m:t>
          </m:r>
          <m:sSub>
            <m:e>
              <m:r>
                <m:t>β</m:t>
              </m:r>
            </m:e>
            <m:sub>
              <m:r>
                <m:t>cost</m:t>
              </m:r>
            </m:sub>
          </m:sSub>
          <m:sSub>
            <m:e>
              <m:r>
                <m:t>Cost</m:t>
              </m:r>
            </m:e>
            <m:sub>
              <m:r>
                <m:t>ij</m:t>
              </m:r>
            </m:sub>
          </m:sSub>
          <m:r>
            <m:t>+</m:t>
          </m:r>
          <m:sSub>
            <m:e>
              <m:r>
                <m:t>β</m:t>
              </m:r>
            </m:e>
            <m:sub>
              <m:r>
                <m:t>transfer</m:t>
              </m:r>
            </m:sub>
          </m:sSub>
          <m:sSub>
            <m:e>
              <m:r>
                <m:t>Transfer</m:t>
              </m:r>
            </m:e>
            <m:sub>
              <m:r>
                <m:t>ij</m:t>
              </m:r>
            </m:sub>
          </m:sSub>
          <m:r>
            <m:t>+</m:t>
          </m:r>
          <m:sSub>
            <m:e>
              <m:r>
                <m:t>β</m:t>
              </m:r>
            </m:e>
            <m:sub>
              <m:r>
                <m:t>access</m:t>
              </m:r>
            </m:sub>
          </m:sSub>
          <m:sSub>
            <m:e>
              <m:r>
                <m:t>Access</m:t>
              </m:r>
            </m:e>
            <m:sub>
              <m:r>
                <m:t>ij</m:t>
              </m:r>
            </m:sub>
          </m:sSub>
          <m:r>
            <m:t>+</m:t>
          </m:r>
          <m:sSub>
            <m:e>
              <m:r>
                <m:t>β</m:t>
              </m:r>
            </m:e>
            <m:sub>
              <m:r>
                <m:t>comfort</m:t>
              </m:r>
            </m:sub>
          </m:sSub>
          <m:sSub>
            <m:e>
              <m:r>
                <m:t>Comfort</m:t>
              </m:r>
            </m:e>
            <m:sub>
              <m:r>
                <m:t>ij</m:t>
              </m:r>
            </m:sub>
          </m:sSub>
          <m:r>
            <m:t>+</m:t>
          </m:r>
          <m:sSub>
            <m:e>
              <m:r>
                <m:t>β</m:t>
              </m:r>
            </m:e>
            <m:sub>
              <m:r>
                <m:t>reliability</m:t>
              </m:r>
            </m:sub>
          </m:sSub>
          <m:sSub>
            <m:e>
              <m:r>
                <m:t>Reliability</m:t>
              </m:r>
            </m:e>
            <m:sub>
              <m:r>
                <m:t>ij</m:t>
              </m:r>
            </m:sub>
          </m:sSub>
        </m:oMath>
      </m:oMathPara>
    </w:p>
    <w:p>
      <w:pPr>
        <w:spacing w:before="0" w:after="80" w:line="252" w:lineRule="auto"/>
        <w:jc w:val="both"/>
      </w:pPr>
      <w:r>
        <w:rPr>
          <w:rFonts w:ascii="Times New Roman" w:hAnsi="Times New Roman"/>
          <w:sz w:val="19"/>
        </w:rPr>
        <w:t>The main model adds $\alpha_{\text{private}} I(\text{private})_{ij}$, with public transport as the reference category. Parameters were estimated using Newton–Raphson. Ordinary standard errors are the primary inference because each final UUID contributes one observation. Fit is assessed through log-likelihood, McFadden $\rho^2$, AIC, and BIC.</w:t>
      </w:r>
    </w:p>
    <w:p>
      <w:pPr>
        <w:keepNext/>
        <w:spacing w:before="160" w:after="40"/>
        <w:jc w:val="left"/>
      </w:pPr>
      <w:r>
        <w:rPr>
          <w:rFonts w:ascii="Times New Roman" w:hAnsi="Times New Roman"/>
          <w:b/>
          <w:color w:val="000000"/>
          <w:sz w:val="19"/>
        </w:rPr>
        <w:t>Sensitivity Analysis</w:t>
      </w:r>
    </w:p>
    <w:p>
      <w:pPr>
        <w:spacing w:before="0" w:after="80" w:line="252" w:lineRule="auto"/>
        <w:jc w:val="both"/>
      </w:pPr>
      <w:r>
        <w:rPr>
          <w:rFonts w:ascii="Times New Roman" w:hAnsi="Times New Roman"/>
          <w:sz w:val="19"/>
        </w:rPr>
        <w:t>The main model is compared with specifications excluding access distance, transfers, both variables, and paid non-public transport. Likelihood-ratio tests are used only for nested models estimated on the same sample. The sample-sensitivity model is not directly compared using AIC/BIC with full-sample models.</w:t>
      </w:r>
    </w:p>
    <w:p>
      <w:pPr>
        <w:keepNext/>
        <w:spacing w:before="240" w:after="80"/>
        <w:jc w:val="center"/>
      </w:pPr>
      <w:r>
        <w:rPr>
          <w:rFonts w:ascii="Times New Roman" w:hAnsi="Times New Roman"/>
          <w:b/>
          <w:color w:val="000000"/>
          <w:sz w:val="20"/>
        </w:rPr>
        <w:t>RESULTS AND DISCUSSION</w:t>
      </w:r>
    </w:p>
    <w:p>
      <w:pPr>
        <w:keepNext/>
        <w:spacing w:before="160" w:after="40"/>
        <w:jc w:val="left"/>
      </w:pPr>
      <w:r>
        <w:rPr>
          <w:rFonts w:ascii="Times New Roman" w:hAnsi="Times New Roman"/>
          <w:b/>
          <w:color w:val="000000"/>
          <w:sz w:val="19"/>
        </w:rPr>
        <w:t>Analytical Sample and Choice Patterns</w:t>
      </w:r>
    </w:p>
    <w:p>
      <w:pPr>
        <w:spacing w:before="0" w:after="80" w:line="252" w:lineRule="auto"/>
        <w:jc w:val="both"/>
      </w:pPr>
      <w:r>
        <w:rPr>
          <w:rFonts w:ascii="Times New Roman" w:hAnsi="Times New Roman"/>
          <w:sz w:val="19"/>
        </w:rPr>
        <w:t>Among 318 final choices, 176 (55.3%) selected public transport, 136 (42.8%) selected a private vehicle, and 6 (1.9%) selected paid non-public transport. Public transport held a narrow majority, while private vehicles remained competitive even when choices were presented within an integrated public transport context.</w:t>
      </w:r>
    </w:p>
    <w:p>
      <w:pPr>
        <w:keepNext/>
        <w:spacing w:before="160" w:after="40"/>
        <w:jc w:val="center"/>
      </w:pPr>
      <w:r>
        <w:drawing>
          <wp:inline xmlns:a="http://schemas.openxmlformats.org/drawingml/2006/main" xmlns:pic="http://schemas.openxmlformats.org/drawingml/2006/picture">
            <wp:extent cx="2606040" cy="1480262"/>
            <wp:docPr id="2" name="Picture 2"/>
            <wp:cNvGraphicFramePr>
              <a:graphicFrameLocks noChangeAspect="1"/>
            </wp:cNvGraphicFramePr>
            <a:graphic>
              <a:graphicData uri="http://schemas.openxmlformats.org/drawingml/2006/picture">
                <pic:pic>
                  <pic:nvPicPr>
                    <pic:cNvPr id="0" name="figure_02_choice_distribution.png"/>
                    <pic:cNvPicPr/>
                  </pic:nvPicPr>
                  <pic:blipFill>
                    <a:blip r:embed="rId10"/>
                    <a:stretch>
                      <a:fillRect/>
                    </a:stretch>
                  </pic:blipFill>
                  <pic:spPr>
                    <a:xfrm>
                      <a:off x="0" y="0"/>
                      <a:ext cx="2606040" cy="1480262"/>
                    </a:xfrm>
                    <a:prstGeom prst="rect"/>
                  </pic:spPr>
                </pic:pic>
              </a:graphicData>
            </a:graphic>
          </wp:inline>
        </w:drawing>
      </w:r>
    </w:p>
    <w:p>
      <w:pPr>
        <w:keepNext w:val="0"/>
        <w:spacing w:before="40" w:after="160"/>
        <w:jc w:val="center"/>
      </w:pPr>
      <w:r>
        <w:rPr>
          <w:rFonts w:ascii="Times New Roman" w:hAnsi="Times New Roman"/>
          <w:b/>
          <w:color w:val="000000"/>
          <w:sz w:val="18"/>
        </w:rPr>
        <w:t>FIGURE 2. Choice distribution by mode group</w:t>
      </w:r>
    </w:p>
    <w:p>
      <w:pPr>
        <w:keepNext/>
        <w:spacing w:before="160" w:after="40"/>
        <w:jc w:val="left"/>
      </w:pPr>
      <w:r>
        <w:rPr>
          <w:rFonts w:ascii="Times New Roman" w:hAnsi="Times New Roman"/>
          <w:b/>
          <w:color w:val="000000"/>
          <w:sz w:val="19"/>
        </w:rPr>
        <w:t>Attribute Variation and Correlation</w:t>
      </w:r>
    </w:p>
    <w:p>
      <w:pPr>
        <w:spacing w:before="0" w:after="80" w:line="252" w:lineRule="auto"/>
        <w:jc w:val="both"/>
      </w:pPr>
      <w:r>
        <w:rPr>
          <w:rFonts w:ascii="Times New Roman" w:hAnsi="Times New Roman"/>
          <w:sz w:val="19"/>
        </w:rPr>
        <w:t>Time and reliability varied in every choice set; cost and comfort varied in 98.1%, access distance in 95.6%, but transfers in only 41.2%. Limited transfer variation reduces information available for identifying its parameter. Correlations of 0.606 between time and transfers and −0.521 between transfers and comfort also suggest that parts of their effects are difficult to separate.</w:t>
      </w:r>
    </w:p>
    <w:p>
      <w:pPr>
        <w:sectPr>
          <w:pgSz w:w="11909" w:h="16834"/>
          <w:pgMar w:top="1440" w:right="1440" w:bottom="1440" w:left="1440" w:header="720" w:footer="720" w:gutter="0"/>
          <w:docGrid w:linePitch="360"/>
          <w:type w:val="continuous"/>
          <w:cols w:num="2" w:space="708"/>
        </w:sectPr>
      </w:pPr>
    </w:p>
    <w:p>
      <w:pPr>
        <w:keepNext/>
        <w:spacing w:before="160" w:after="40"/>
        <w:jc w:val="center"/>
      </w:pPr>
      <w:r>
        <w:drawing>
          <wp:inline xmlns:a="http://schemas.openxmlformats.org/drawingml/2006/main" xmlns:pic="http://schemas.openxmlformats.org/drawingml/2006/picture">
            <wp:extent cx="5486400" cy="3936430"/>
            <wp:docPr id="3" name="Picture 3"/>
            <wp:cNvGraphicFramePr>
              <a:graphicFrameLocks noChangeAspect="1"/>
            </wp:cNvGraphicFramePr>
            <a:graphic>
              <a:graphicData uri="http://schemas.openxmlformats.org/drawingml/2006/picture">
                <pic:pic>
                  <pic:nvPicPr>
                    <pic:cNvPr id="0" name="figure_03_attribute_diagnostics.png"/>
                    <pic:cNvPicPr/>
                  </pic:nvPicPr>
                  <pic:blipFill>
                    <a:blip r:embed="rId11"/>
                    <a:stretch>
                      <a:fillRect/>
                    </a:stretch>
                  </pic:blipFill>
                  <pic:spPr>
                    <a:xfrm>
                      <a:off x="0" y="0"/>
                      <a:ext cx="5486400" cy="3936430"/>
                    </a:xfrm>
                    <a:prstGeom prst="rect"/>
                  </pic:spPr>
                </pic:pic>
              </a:graphicData>
            </a:graphic>
          </wp:inline>
        </w:drawing>
      </w:r>
    </w:p>
    <w:p>
      <w:pPr>
        <w:keepNext w:val="0"/>
        <w:spacing w:before="40" w:after="160"/>
        <w:jc w:val="center"/>
      </w:pPr>
      <w:r>
        <w:rPr>
          <w:rFonts w:ascii="Times New Roman" w:hAnsi="Times New Roman"/>
          <w:b/>
          <w:color w:val="000000"/>
          <w:sz w:val="18"/>
        </w:rPr>
        <w:t>FIGURE 3. Within-choice-set variation (Panel A) and attribute correlations (Panel B)</w:t>
      </w:r>
    </w:p>
    <w:p>
      <w:pPr>
        <w:sectPr>
          <w:pgSz w:w="11909" w:h="16834"/>
          <w:pgMar w:top="1440" w:right="1440" w:bottom="1440" w:left="1440" w:header="720" w:footer="720" w:gutter="0"/>
          <w:docGrid w:linePitch="360"/>
          <w:type w:val="continuous"/>
          <w:cols w:num="1" w:space="708"/>
        </w:sectPr>
      </w:pPr>
    </w:p>
    <w:p>
      <w:pPr>
        <w:keepNext/>
        <w:spacing w:before="160" w:after="40"/>
        <w:jc w:val="left"/>
      </w:pPr>
      <w:r>
        <w:rPr>
          <w:rFonts w:ascii="Times New Roman" w:hAnsi="Times New Roman"/>
          <w:b/>
          <w:color w:val="000000"/>
          <w:sz w:val="19"/>
        </w:rPr>
        <w:t>MNL Estimation Results</w:t>
      </w:r>
    </w:p>
    <w:p>
      <w:pPr>
        <w:keepNext/>
        <w:spacing w:before="40" w:after="160"/>
        <w:jc w:val="center"/>
      </w:pPr>
      <w:r>
        <w:rPr>
          <w:rFonts w:ascii="Times New Roman" w:hAnsi="Times New Roman"/>
          <w:b/>
          <w:color w:val="000000"/>
          <w:sz w:val="18"/>
        </w:rPr>
        <w:t>TABLE 4. Basic model and private-vehicle ASC model estimates</w:t>
      </w:r>
    </w:p>
    <w:tbl>
      <w:tblPr>
        <w:tblW w:type="auto" w:w="0"/>
        <w:jc w:val="center"/>
        <w:tblLayout w:type="fixed"/>
        <w:tblLook w:firstColumn="1" w:firstRow="1" w:lastColumn="0" w:lastRow="0" w:noHBand="0" w:noVBand="1" w:val="04A0"/>
      </w:tblPr>
      <w:tblGrid>
        <w:gridCol w:w="1440"/>
        <w:gridCol w:w="1368"/>
        <w:gridCol w:w="1368"/>
      </w:tblGrid>
      <w:tr>
        <w:trPr>
          <w:trHeight w:val="320"/>
        </w:trPr>
        <w:tc>
          <w:tcPr>
            <w:tcW w:type="dxa" w:w="1440"/>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Variable</w:t>
            </w:r>
          </w:p>
        </w:tc>
        <w:tc>
          <w:tcPr>
            <w:tcW w:type="dxa" w:w="1368"/>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Basic β (SE)</w:t>
            </w:r>
          </w:p>
        </w:tc>
        <w:tc>
          <w:tcPr>
            <w:tcW w:type="dxa" w:w="1368"/>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MNL+ASC β (SE)</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Time</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−0.00693 (0.00841)</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−0.00239 (0.00861)</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Cost</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−0.0000225 (0.0000174)</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−0.0000211 (0.0000179)</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Transfers</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0.240 (0.258)</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0.231 (0.263)</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Access distance</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0.336 (0.194)</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0.502</w:t>
            </w:r>
            <w:r>
              <w:rPr>
                <w:rFonts w:ascii="Times New Roman" w:hAnsi="Times New Roman"/>
                <w:i/>
                <w:color w:val="000000"/>
                <w:sz w:val="16"/>
              </w:rPr>
            </w:r>
            <w:r>
              <w:rPr>
                <w:rFonts w:ascii="Times New Roman" w:hAnsi="Times New Roman"/>
                <w:color w:val="000000"/>
                <w:sz w:val="16"/>
              </w:rPr>
              <w:t xml:space="preserve"> (0.214)</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Comfort</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0.413</w:t>
            </w:r>
            <w:r>
              <w:rPr>
                <w:rFonts w:ascii="Times New Roman" w:hAnsi="Times New Roman"/>
                <w:i/>
                <w:color w:val="000000"/>
                <w:sz w:val="16"/>
              </w:rPr>
            </w:r>
            <w:r>
              <w:rPr>
                <w:rFonts w:ascii="Times New Roman" w:hAnsi="Times New Roman"/>
                <w:color w:val="000000"/>
                <w:sz w:val="16"/>
              </w:rPr>
              <w:t xml:space="preserve"> (0.164)</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0.255 (0.174)</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Reliability</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0.118 (0.132)</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0.353</w:t>
            </w:r>
            <w:r>
              <w:rPr>
                <w:rFonts w:ascii="Times New Roman" w:hAnsi="Times New Roman"/>
                <w:i/>
                <w:color w:val="000000"/>
                <w:sz w:val="16"/>
              </w:rPr>
            </w:r>
            <w:r>
              <w:rPr>
                <w:rFonts w:ascii="Times New Roman" w:hAnsi="Times New Roman"/>
                <w:color w:val="000000"/>
                <w:sz w:val="16"/>
              </w:rPr>
              <w:t xml:space="preserve"> (0.166)</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Private-vehicle ASC</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0.610</w:t>
            </w:r>
            <w:r>
              <w:rPr>
                <w:rFonts w:ascii="Times New Roman" w:hAnsi="Times New Roman"/>
                <w:i/>
                <w:color w:val="000000"/>
                <w:sz w:val="16"/>
              </w:rPr>
            </w:r>
            <w:r>
              <w:rPr>
                <w:rFonts w:ascii="Times New Roman" w:hAnsi="Times New Roman"/>
                <w:color w:val="000000"/>
                <w:sz w:val="16"/>
              </w:rPr>
              <w:t xml:space="preserve"> (0.247)</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Log-likelihood</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−255.166</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−252.049</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McFadden ρ²</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0.0397</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0.0514</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AIC</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522.33</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518.10</w:t>
            </w:r>
          </w:p>
        </w:tc>
      </w:tr>
      <w:tr>
        <w:trPr>
          <w:trHeight w:val="280"/>
        </w:trPr>
        <w:tc>
          <w:tcPr>
            <w:tcW w:type="dxa" w:w="1440"/>
            <w:vAlign w:val="center"/>
            <w:tcBorders>
              <w:top w:val="none" w:sz="4" w:space="0" w:color="000000"/>
              <w:left w:val="none" w:sz="4" w:space="0" w:color="000000"/>
              <w:bottom w:val="single" w:sz="12" w:space="0" w:color="000000"/>
              <w:right w:val="none" w:sz="4" w:space="0" w:color="000000"/>
            </w:tcBorders>
          </w:tcPr>
          <w:p>
            <w:pPr>
              <w:spacing w:before="30" w:after="30"/>
              <w:jc w:val="left"/>
            </w:pPr>
            <w:r>
              <w:rPr>
                <w:rFonts w:ascii="Times New Roman" w:hAnsi="Times New Roman"/>
                <w:color w:val="000000"/>
                <w:sz w:val="16"/>
              </w:rPr>
              <w:t>BIC</w:t>
            </w:r>
          </w:p>
        </w:tc>
        <w:tc>
          <w:tcPr>
            <w:tcW w:type="dxa" w:w="1368"/>
            <w:vAlign w:val="center"/>
            <w:tcBorders>
              <w:top w:val="none" w:sz="4" w:space="0" w:color="000000"/>
              <w:left w:val="none" w:sz="4" w:space="0" w:color="000000"/>
              <w:bottom w:val="single" w:sz="12" w:space="0" w:color="000000"/>
              <w:right w:val="none" w:sz="4" w:space="0" w:color="000000"/>
            </w:tcBorders>
          </w:tcPr>
          <w:p>
            <w:pPr>
              <w:spacing w:before="30" w:after="30"/>
              <w:jc w:val="right"/>
            </w:pPr>
            <w:r>
              <w:rPr>
                <w:rFonts w:ascii="Times New Roman" w:hAnsi="Times New Roman"/>
                <w:color w:val="000000"/>
                <w:sz w:val="16"/>
              </w:rPr>
              <w:t>544.91</w:t>
            </w:r>
          </w:p>
        </w:tc>
        <w:tc>
          <w:tcPr>
            <w:tcW w:type="dxa" w:w="1368"/>
            <w:vAlign w:val="center"/>
            <w:tcBorders>
              <w:top w:val="none" w:sz="4" w:space="0" w:color="000000"/>
              <w:left w:val="none" w:sz="4" w:space="0" w:color="000000"/>
              <w:bottom w:val="single" w:sz="12" w:space="0" w:color="000000"/>
              <w:right w:val="none" w:sz="4" w:space="0" w:color="000000"/>
            </w:tcBorders>
          </w:tcPr>
          <w:p>
            <w:pPr>
              <w:spacing w:before="30" w:after="30"/>
              <w:jc w:val="right"/>
            </w:pPr>
            <w:r>
              <w:rPr>
                <w:rFonts w:ascii="Times New Roman" w:hAnsi="Times New Roman"/>
                <w:color w:val="000000"/>
                <w:sz w:val="16"/>
              </w:rPr>
              <w:t>544.43</w:t>
            </w:r>
          </w:p>
        </w:tc>
      </w:tr>
    </w:tbl>
    <w:p>
      <w:pPr>
        <w:spacing w:before="0" w:after="80"/>
      </w:pPr>
    </w:p>
    <w:p>
      <w:pPr>
        <w:spacing w:before="40" w:after="120"/>
      </w:pPr>
      <w:r>
        <w:rPr>
          <w:rFonts w:ascii="Times New Roman" w:hAnsi="Times New Roman"/>
          <w:color w:val="6E6E6E"/>
          <w:sz w:val="16"/>
        </w:rPr>
      </w:r>
      <w:r>
        <w:rPr>
          <w:rFonts w:ascii="Times New Roman" w:hAnsi="Times New Roman"/>
          <w:b/>
          <w:color w:val="6E6E6E"/>
          <w:sz w:val="16"/>
        </w:rPr>
        <w:t>Note:</w:t>
      </w:r>
      <w:r>
        <w:rPr>
          <w:rFonts w:ascii="Times New Roman" w:hAnsi="Times New Roman"/>
          <w:color w:val="6E6E6E"/>
          <w:sz w:val="16"/>
        </w:rPr>
        <w:t xml:space="preserve"> </w:t>
      </w:r>
      <w:r>
        <w:rPr>
          <w:rFonts w:ascii="Times New Roman" w:hAnsi="Times New Roman"/>
          <w:i/>
          <w:color w:val="6E6E6E"/>
          <w:sz w:val="16"/>
        </w:rPr>
      </w:r>
      <w:r>
        <w:rPr>
          <w:rFonts w:ascii="Times New Roman" w:hAnsi="Times New Roman"/>
          <w:color w:val="6E6E6E"/>
          <w:sz w:val="16"/>
        </w:rPr>
        <w:t xml:space="preserve"> significant at 5% (|t|&gt;1.96); ordinary SE in parentheses.</w:t>
      </w:r>
    </w:p>
    <w:p>
      <w:pPr>
        <w:spacing w:before="0" w:after="80" w:line="252" w:lineRule="auto"/>
        <w:jc w:val="both"/>
      </w:pPr>
      <w:r>
        <w:rPr>
          <w:rFonts w:ascii="Times New Roman" w:hAnsi="Times New Roman"/>
          <w:sz w:val="19"/>
        </w:rPr>
        <w:t>The inclusion of the ASC improved the log-likelihood and reduced AIC, although the increase in ρ² from 0.0397 to 0.0514 still reflects a modest level of explanatory power. Such moderate goodness-of-fit aligns with findings in contemporary urban mode-choice literature, which demonstrate that discrete choice models based purely on engineering-level service attributes often face limitations in explaining individual travel decisions without incorporating latent attitudes or perceptual variables (Zhao et al. 2020; Eldeeb &amp; Mohamed 2020). The positive and statistically significant private-vehicle ASC (β=0.610; p&lt;0.05) confirms a pronounced intrinsic modal bias toward private motorized transport that persists after controlling for measured journey time and monetary cost (Ranjan &amp; Sinha 2024). Meanwhile, service reliability exerted a positive and statistically significant influence on utility (β=0.353; p&lt;0.05), corroborating recent empirical evidence that schedule predictability and punctuality represent foremost determinants in attracting transit riders (Eldeeb &amp; Mohamed 2020). Travel time and monetary cost displayed theoretically expected negative signs but remained statistically insignificant.</w:t>
      </w:r>
    </w:p>
    <w:p>
      <w:pPr>
        <w:spacing w:before="0" w:after="80" w:line="252" w:lineRule="auto"/>
        <w:jc w:val="both"/>
      </w:pPr>
      <w:r>
        <w:rPr>
          <w:rFonts w:ascii="Times New Roman" w:hAnsi="Times New Roman"/>
          <w:sz w:val="19"/>
        </w:rPr>
        <w:t>Access distance was positive and statistically significant, which runs contrary to standard theoretical expectations regarding walking disutility. This outcome warrants cautious interpretation within the context of urban first-mile/last-mile integration: private vehicles naturally carry zero walking access distance, spatial coverage across feeder bus corridors is uneven, and reliance on network-based distance proxies may lead the access parameter to absorb spatial structural effects or differential transit accessibility across origins (Lu et al. 2023; Ramos-Santiago 2022; Lieu &amp; Akar 2025). Thus, this positive coefficient is not interpreted as user preference for longer walking distances, but rather reflects the empirical complexity of transit catchment accessibility in emerging metropolitan networks (Lieu &amp; Akar 2025). The comfort parameter lost significance once the ASC was introduced, suggesting that systemic comfort proxies overlap substantially with modal identity.</w:t>
      </w:r>
    </w:p>
    <w:p>
      <w:pPr>
        <w:keepNext/>
        <w:spacing w:before="160" w:after="40"/>
        <w:jc w:val="center"/>
      </w:pPr>
      <w:r>
        <w:drawing>
          <wp:inline xmlns:a="http://schemas.openxmlformats.org/drawingml/2006/main" xmlns:pic="http://schemas.openxmlformats.org/drawingml/2006/picture">
            <wp:extent cx="2606040" cy="1713987"/>
            <wp:docPr id="4" name="Picture 4"/>
            <wp:cNvGraphicFramePr>
              <a:graphicFrameLocks noChangeAspect="1"/>
            </wp:cNvGraphicFramePr>
            <a:graphic>
              <a:graphicData uri="http://schemas.openxmlformats.org/drawingml/2006/picture">
                <pic:pic>
                  <pic:nvPicPr>
                    <pic:cNvPr id="0" name="figure_04_mnl_coefficients.png"/>
                    <pic:cNvPicPr/>
                  </pic:nvPicPr>
                  <pic:blipFill>
                    <a:blip r:embed="rId12"/>
                    <a:stretch>
                      <a:fillRect/>
                    </a:stretch>
                  </pic:blipFill>
                  <pic:spPr>
                    <a:xfrm>
                      <a:off x="0" y="0"/>
                      <a:ext cx="2606040" cy="1713987"/>
                    </a:xfrm>
                    <a:prstGeom prst="rect"/>
                  </pic:spPr>
                </pic:pic>
              </a:graphicData>
            </a:graphic>
          </wp:inline>
        </w:drawing>
      </w:r>
    </w:p>
    <w:p>
      <w:pPr>
        <w:keepNext w:val="0"/>
        <w:spacing w:before="40" w:after="160"/>
        <w:jc w:val="center"/>
      </w:pPr>
      <w:r>
        <w:rPr>
          <w:rFonts w:ascii="Times New Roman" w:hAnsi="Times New Roman"/>
          <w:b/>
          <w:color w:val="000000"/>
          <w:sz w:val="18"/>
        </w:rPr>
        <w:t>FIGURE 4. MNL+ASC coefficients and 95% confidence intervals</w:t>
      </w:r>
    </w:p>
    <w:p>
      <w:pPr>
        <w:keepNext/>
        <w:spacing w:before="160" w:after="40"/>
        <w:jc w:val="left"/>
      </w:pPr>
      <w:r>
        <w:rPr>
          <w:rFonts w:ascii="Times New Roman" w:hAnsi="Times New Roman"/>
          <w:b/>
          <w:color w:val="000000"/>
          <w:sz w:val="19"/>
        </w:rPr>
        <w:t>Sensitivity and Model Selection</w:t>
      </w:r>
    </w:p>
    <w:p>
      <w:pPr>
        <w:keepNext/>
        <w:spacing w:before="40" w:after="160"/>
        <w:jc w:val="center"/>
      </w:pPr>
      <w:r>
        <w:rPr>
          <w:rFonts w:ascii="Times New Roman" w:hAnsi="Times New Roman"/>
          <w:b/>
          <w:color w:val="000000"/>
          <w:sz w:val="18"/>
        </w:rPr>
        <w:t>TABLE 5. Model-specification sensitivity</w:t>
      </w:r>
    </w:p>
    <w:p>
      <w:pPr>
        <w:sectPr>
          <w:pgSz w:w="11909" w:h="16834"/>
          <w:pgMar w:top="1440" w:right="1440" w:bottom="1440" w:left="1440" w:header="720" w:footer="720" w:gutter="0"/>
          <w:docGrid w:linePitch="360"/>
          <w:type w:val="continuous"/>
          <w:cols w:num="2" w:space="708"/>
        </w:sectPr>
      </w:pPr>
    </w:p>
    <w:tbl>
      <w:tblPr>
        <w:tblW w:type="auto" w:w="0"/>
        <w:jc w:val="center"/>
        <w:tblLayout w:type="fixed"/>
        <w:tblLook w:firstColumn="1" w:firstRow="1" w:lastColumn="0" w:lastRow="0" w:noHBand="0" w:noVBand="1" w:val="04A0"/>
      </w:tblPr>
      <w:tblGrid>
        <w:gridCol w:w="2117"/>
        <w:gridCol w:w="1368"/>
        <w:gridCol w:w="1224"/>
        <w:gridCol w:w="1368"/>
        <w:gridCol w:w="1368"/>
        <w:gridCol w:w="1584"/>
      </w:tblGrid>
      <w:tr>
        <w:trPr>
          <w:trHeight w:val="320"/>
        </w:trPr>
        <w:tc>
          <w:tcPr>
            <w:tcW w:type="dxa" w:w="2117"/>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5"/>
              </w:rPr>
              <w:t>Specification</w:t>
            </w:r>
          </w:p>
        </w:tc>
        <w:tc>
          <w:tcPr>
            <w:tcW w:type="dxa" w:w="1368"/>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5"/>
              </w:rPr>
              <w:t>LL</w:t>
            </w:r>
          </w:p>
        </w:tc>
        <w:tc>
          <w:tcPr>
            <w:tcW w:type="dxa" w:w="1224"/>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5"/>
              </w:rPr>
              <w:t>ρ²</w:t>
            </w:r>
          </w:p>
        </w:tc>
        <w:tc>
          <w:tcPr>
            <w:tcW w:type="dxa" w:w="1368"/>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5"/>
              </w:rPr>
              <w:t>AIC</w:t>
            </w:r>
          </w:p>
        </w:tc>
        <w:tc>
          <w:tcPr>
            <w:tcW w:type="dxa" w:w="1368"/>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5"/>
              </w:rPr>
              <w:t>BIC</w:t>
            </w:r>
          </w:p>
        </w:tc>
        <w:tc>
          <w:tcPr>
            <w:tcW w:type="dxa" w:w="1584"/>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5"/>
              </w:rPr>
              <w:t>LR p-value</w:t>
            </w:r>
          </w:p>
        </w:tc>
      </w:tr>
      <w:tr>
        <w:trPr>
          <w:trHeight w:val="280"/>
        </w:trPr>
        <w:tc>
          <w:tcPr>
            <w:tcW w:type="dxa" w:w="2117"/>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5"/>
              </w:rPr>
              <w:t>Full + ASC</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−252.049</w:t>
            </w:r>
          </w:p>
        </w:tc>
        <w:tc>
          <w:tcPr>
            <w:tcW w:type="dxa" w:w="1224"/>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0.0514</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518.10</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544.43</w:t>
            </w:r>
          </w:p>
        </w:tc>
        <w:tc>
          <w:tcPr>
            <w:tcW w:type="dxa" w:w="1584"/>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w:t>
            </w:r>
          </w:p>
        </w:tc>
      </w:tr>
      <w:tr>
        <w:trPr>
          <w:trHeight w:val="280"/>
        </w:trPr>
        <w:tc>
          <w:tcPr>
            <w:tcW w:type="dxa" w:w="2117"/>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5"/>
              </w:rPr>
              <w:t>Without access</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−255.122</w:t>
            </w:r>
          </w:p>
        </w:tc>
        <w:tc>
          <w:tcPr>
            <w:tcW w:type="dxa" w:w="1224"/>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0.0399</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522.24</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544.82</w:t>
            </w:r>
          </w:p>
        </w:tc>
        <w:tc>
          <w:tcPr>
            <w:tcW w:type="dxa" w:w="1584"/>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0.0132</w:t>
            </w:r>
          </w:p>
        </w:tc>
      </w:tr>
      <w:tr>
        <w:trPr>
          <w:trHeight w:val="280"/>
        </w:trPr>
        <w:tc>
          <w:tcPr>
            <w:tcW w:type="dxa" w:w="2117"/>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5"/>
              </w:rPr>
              <w:t>Without transfers</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−252.436</w:t>
            </w:r>
          </w:p>
        </w:tc>
        <w:tc>
          <w:tcPr>
            <w:tcW w:type="dxa" w:w="1224"/>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0.0500</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516.87</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539.44</w:t>
            </w:r>
          </w:p>
        </w:tc>
        <w:tc>
          <w:tcPr>
            <w:tcW w:type="dxa" w:w="1584"/>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0.3790</w:t>
            </w:r>
          </w:p>
        </w:tc>
      </w:tr>
      <w:tr>
        <w:trPr>
          <w:trHeight w:val="280"/>
        </w:trPr>
        <w:tc>
          <w:tcPr>
            <w:tcW w:type="dxa" w:w="2117"/>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5"/>
              </w:rPr>
              <w:t>Without access and transfers</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−255.143</w:t>
            </w:r>
          </w:p>
        </w:tc>
        <w:tc>
          <w:tcPr>
            <w:tcW w:type="dxa" w:w="1224"/>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0.0398</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520.29</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539.10</w:t>
            </w:r>
          </w:p>
        </w:tc>
        <w:tc>
          <w:tcPr>
            <w:tcW w:type="dxa" w:w="1584"/>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0.0453</w:t>
            </w:r>
          </w:p>
        </w:tc>
      </w:tr>
      <w:tr>
        <w:trPr>
          <w:trHeight w:val="280"/>
        </w:trPr>
        <w:tc>
          <w:tcPr>
            <w:tcW w:type="dxa" w:w="2117"/>
            <w:vAlign w:val="center"/>
            <w:tcBorders>
              <w:top w:val="none" w:sz="4" w:space="0" w:color="000000"/>
              <w:left w:val="none" w:sz="4" w:space="0" w:color="000000"/>
              <w:bottom w:val="single" w:sz="12" w:space="0" w:color="000000"/>
              <w:right w:val="none" w:sz="4" w:space="0" w:color="000000"/>
            </w:tcBorders>
          </w:tcPr>
          <w:p>
            <w:pPr>
              <w:spacing w:before="30" w:after="30"/>
              <w:jc w:val="left"/>
            </w:pPr>
            <w:r>
              <w:rPr>
                <w:rFonts w:ascii="Times New Roman" w:hAnsi="Times New Roman"/>
                <w:color w:val="000000"/>
                <w:sz w:val="15"/>
              </w:rPr>
              <w:t>Without paid non-public transport†</w:t>
            </w:r>
          </w:p>
        </w:tc>
        <w:tc>
          <w:tcPr>
            <w:tcW w:type="dxa" w:w="1368"/>
            <w:vAlign w:val="center"/>
            <w:tcBorders>
              <w:top w:val="none" w:sz="4" w:space="0" w:color="000000"/>
              <w:left w:val="none" w:sz="4" w:space="0" w:color="000000"/>
              <w:bottom w:val="single" w:sz="12" w:space="0" w:color="000000"/>
              <w:right w:val="none" w:sz="4" w:space="0" w:color="000000"/>
            </w:tcBorders>
          </w:tcPr>
          <w:p>
            <w:pPr>
              <w:spacing w:before="30" w:after="30"/>
              <w:jc w:val="right"/>
            </w:pPr>
            <w:r>
              <w:rPr>
                <w:rFonts w:ascii="Times New Roman" w:hAnsi="Times New Roman"/>
                <w:color w:val="000000"/>
                <w:sz w:val="15"/>
              </w:rPr>
              <w:t>−237.397</w:t>
            </w:r>
          </w:p>
        </w:tc>
        <w:tc>
          <w:tcPr>
            <w:tcW w:type="dxa" w:w="1224"/>
            <w:vAlign w:val="center"/>
            <w:tcBorders>
              <w:top w:val="none" w:sz="4" w:space="0" w:color="000000"/>
              <w:left w:val="none" w:sz="4" w:space="0" w:color="000000"/>
              <w:bottom w:val="single" w:sz="12" w:space="0" w:color="000000"/>
              <w:right w:val="none" w:sz="4" w:space="0" w:color="000000"/>
            </w:tcBorders>
          </w:tcPr>
          <w:p>
            <w:pPr>
              <w:spacing w:before="30" w:after="30"/>
              <w:jc w:val="right"/>
            </w:pPr>
            <w:r>
              <w:rPr>
                <w:rFonts w:ascii="Times New Roman" w:hAnsi="Times New Roman"/>
                <w:color w:val="000000"/>
                <w:sz w:val="15"/>
              </w:rPr>
              <w:t>0.0404</w:t>
            </w:r>
          </w:p>
        </w:tc>
        <w:tc>
          <w:tcPr>
            <w:tcW w:type="dxa" w:w="1368"/>
            <w:vAlign w:val="center"/>
            <w:tcBorders>
              <w:top w:val="none" w:sz="4" w:space="0" w:color="000000"/>
              <w:left w:val="none" w:sz="4" w:space="0" w:color="000000"/>
              <w:bottom w:val="single" w:sz="12" w:space="0" w:color="000000"/>
              <w:right w:val="none" w:sz="4" w:space="0" w:color="000000"/>
            </w:tcBorders>
          </w:tcPr>
          <w:p>
            <w:pPr>
              <w:spacing w:before="30" w:after="30"/>
              <w:jc w:val="right"/>
            </w:pPr>
            <w:r>
              <w:rPr>
                <w:rFonts w:ascii="Times New Roman" w:hAnsi="Times New Roman"/>
                <w:color w:val="000000"/>
                <w:sz w:val="15"/>
              </w:rPr>
              <w:t>488.79</w:t>
            </w:r>
          </w:p>
        </w:tc>
        <w:tc>
          <w:tcPr>
            <w:tcW w:type="dxa" w:w="1368"/>
            <w:vAlign w:val="center"/>
            <w:tcBorders>
              <w:top w:val="none" w:sz="4" w:space="0" w:color="000000"/>
              <w:left w:val="none" w:sz="4" w:space="0" w:color="000000"/>
              <w:bottom w:val="single" w:sz="12" w:space="0" w:color="000000"/>
              <w:right w:val="none" w:sz="4" w:space="0" w:color="000000"/>
            </w:tcBorders>
          </w:tcPr>
          <w:p>
            <w:pPr>
              <w:spacing w:before="30" w:after="30"/>
              <w:jc w:val="right"/>
            </w:pPr>
            <w:r>
              <w:rPr>
                <w:rFonts w:ascii="Times New Roman" w:hAnsi="Times New Roman"/>
                <w:color w:val="000000"/>
                <w:sz w:val="15"/>
              </w:rPr>
              <w:t>514.67</w:t>
            </w:r>
          </w:p>
        </w:tc>
        <w:tc>
          <w:tcPr>
            <w:tcW w:type="dxa" w:w="1584"/>
            <w:vAlign w:val="center"/>
            <w:tcBorders>
              <w:top w:val="none" w:sz="4" w:space="0" w:color="000000"/>
              <w:left w:val="none" w:sz="4" w:space="0" w:color="000000"/>
              <w:bottom w:val="single" w:sz="12" w:space="0" w:color="000000"/>
              <w:right w:val="none" w:sz="4" w:space="0" w:color="000000"/>
            </w:tcBorders>
          </w:tcPr>
          <w:p>
            <w:pPr>
              <w:spacing w:before="30" w:after="30"/>
              <w:jc w:val="right"/>
            </w:pPr>
            <w:r>
              <w:rPr>
                <w:rFonts w:ascii="Times New Roman" w:hAnsi="Times New Roman"/>
                <w:color w:val="000000"/>
                <w:sz w:val="15"/>
              </w:rPr>
              <w:t>—</w:t>
            </w:r>
          </w:p>
        </w:tc>
      </w:tr>
    </w:tbl>
    <w:p>
      <w:pPr>
        <w:spacing w:before="0" w:after="80"/>
      </w:pPr>
    </w:p>
    <w:p>
      <w:pPr>
        <w:sectPr>
          <w:pgSz w:w="11909" w:h="16834"/>
          <w:pgMar w:top="1440" w:right="1440" w:bottom="1440" w:left="1440" w:header="720" w:footer="720" w:gutter="0"/>
          <w:docGrid w:linePitch="360"/>
          <w:type w:val="continuous"/>
          <w:cols w:num="1" w:space="708"/>
        </w:sectPr>
      </w:pPr>
    </w:p>
    <w:p>
      <w:pPr>
        <w:spacing w:before="40" w:after="120"/>
      </w:pPr>
      <w:r>
        <w:rPr>
          <w:rFonts w:ascii="Times New Roman" w:hAnsi="Times New Roman"/>
          <w:color w:val="6E6E6E"/>
          <w:sz w:val="16"/>
        </w:rPr>
      </w:r>
      <w:r>
        <w:rPr>
          <w:rFonts w:ascii="Times New Roman" w:hAnsi="Times New Roman"/>
          <w:b/>
          <w:color w:val="6E6E6E"/>
          <w:sz w:val="16"/>
        </w:rPr>
        <w:t>Note:</w:t>
      </w:r>
      <w:r>
        <w:rPr>
          <w:rFonts w:ascii="Times New Roman" w:hAnsi="Times New Roman"/>
          <w:color w:val="6E6E6E"/>
          <w:sz w:val="16"/>
        </w:rPr>
        <w:t xml:space="preserve"> †N=298; AIC/BIC are not directly compared with N=318 models.</w:t>
      </w:r>
    </w:p>
    <w:p>
      <w:pPr>
        <w:spacing w:before="0" w:after="80" w:line="252" w:lineRule="auto"/>
        <w:jc w:val="both"/>
      </w:pPr>
      <w:r>
        <w:rPr>
          <w:rFonts w:ascii="Times New Roman" w:hAnsi="Times New Roman"/>
          <w:sz w:val="19"/>
        </w:rPr>
        <w:t>Removing access significantly reduced fit (p=0.0132), showing that access contains information despite its problematic sign. Removing transfers did not significantly reduce fit (p=0.3790) and yielded a lower AIC. The no-transfer model is therefore a useful robustness specification, while the full model is retained as the main conceptual model.</w:t>
      </w:r>
    </w:p>
    <w:p>
      <w:pPr>
        <w:keepNext/>
        <w:spacing w:before="160" w:after="40"/>
        <w:jc w:val="center"/>
      </w:pPr>
      <w:r>
        <w:drawing>
          <wp:inline xmlns:a="http://schemas.openxmlformats.org/drawingml/2006/main" xmlns:pic="http://schemas.openxmlformats.org/drawingml/2006/picture">
            <wp:extent cx="2606040" cy="1713987"/>
            <wp:docPr id="5" name="Picture 5"/>
            <wp:cNvGraphicFramePr>
              <a:graphicFrameLocks noChangeAspect="1"/>
            </wp:cNvGraphicFramePr>
            <a:graphic>
              <a:graphicData uri="http://schemas.openxmlformats.org/drawingml/2006/picture">
                <pic:pic>
                  <pic:nvPicPr>
                    <pic:cNvPr id="0" name="figure_05_model_fit.png"/>
                    <pic:cNvPicPr/>
                  </pic:nvPicPr>
                  <pic:blipFill>
                    <a:blip r:embed="rId13"/>
                    <a:stretch>
                      <a:fillRect/>
                    </a:stretch>
                  </pic:blipFill>
                  <pic:spPr>
                    <a:xfrm>
                      <a:off x="0" y="0"/>
                      <a:ext cx="2606040" cy="1713987"/>
                    </a:xfrm>
                    <a:prstGeom prst="rect"/>
                  </pic:spPr>
                </pic:pic>
              </a:graphicData>
            </a:graphic>
          </wp:inline>
        </w:drawing>
      </w:r>
    </w:p>
    <w:p>
      <w:pPr>
        <w:keepNext w:val="0"/>
        <w:spacing w:before="40" w:after="160"/>
        <w:jc w:val="center"/>
      </w:pPr>
      <w:r>
        <w:rPr>
          <w:rFonts w:ascii="Times New Roman" w:hAnsi="Times New Roman"/>
          <w:b/>
          <w:color w:val="000000"/>
          <w:sz w:val="18"/>
        </w:rPr>
        <w:t>FIGURE 5. AIC and BIC for models estimated on the same sample</w:t>
      </w:r>
    </w:p>
    <w:p>
      <w:pPr>
        <w:spacing w:before="0" w:after="80" w:line="252" w:lineRule="auto"/>
        <w:jc w:val="both"/>
      </w:pPr>
      <w:r>
        <w:rPr>
          <w:rFonts w:ascii="Times New Roman" w:hAnsi="Times New Roman"/>
          <w:sz w:val="19"/>
        </w:rPr>
        <w:t>Comfort, reliability, and ASC remained positive across specifications. In contrast, time and cost changed sign in some sensitivity analyses. This instability limits interpretation of value of time and indicates that six attributes do not fully separate the mechanisms underlying choice.</w:t>
      </w:r>
    </w:p>
    <w:p>
      <w:pPr>
        <w:sectPr>
          <w:pgSz w:w="11909" w:h="16834"/>
          <w:pgMar w:top="1440" w:right="1440" w:bottom="1440" w:left="1440" w:header="720" w:footer="720" w:gutter="0"/>
          <w:docGrid w:linePitch="360"/>
          <w:type w:val="continuous"/>
          <w:cols w:num="2" w:space="708"/>
        </w:sectPr>
      </w:pPr>
    </w:p>
    <w:p>
      <w:pPr>
        <w:keepNext/>
        <w:spacing w:before="160" w:after="40"/>
        <w:jc w:val="center"/>
      </w:pPr>
      <w:r>
        <w:drawing>
          <wp:inline xmlns:a="http://schemas.openxmlformats.org/drawingml/2006/main" xmlns:pic="http://schemas.openxmlformats.org/drawingml/2006/picture">
            <wp:extent cx="5486400" cy="3608395"/>
            <wp:docPr id="6" name="Picture 6"/>
            <wp:cNvGraphicFramePr>
              <a:graphicFrameLocks noChangeAspect="1"/>
            </wp:cNvGraphicFramePr>
            <a:graphic>
              <a:graphicData uri="http://schemas.openxmlformats.org/drawingml/2006/picture">
                <pic:pic>
                  <pic:nvPicPr>
                    <pic:cNvPr id="0" name="figure_06_coefficient_stability.png"/>
                    <pic:cNvPicPr/>
                  </pic:nvPicPr>
                  <pic:blipFill>
                    <a:blip r:embed="rId14"/>
                    <a:stretch>
                      <a:fillRect/>
                    </a:stretch>
                  </pic:blipFill>
                  <pic:spPr>
                    <a:xfrm>
                      <a:off x="0" y="0"/>
                      <a:ext cx="5486400" cy="3608395"/>
                    </a:xfrm>
                    <a:prstGeom prst="rect"/>
                  </pic:spPr>
                </pic:pic>
              </a:graphicData>
            </a:graphic>
          </wp:inline>
        </w:drawing>
      </w:r>
    </w:p>
    <w:p>
      <w:pPr>
        <w:keepNext w:val="0"/>
        <w:spacing w:before="40" w:after="160"/>
        <w:jc w:val="center"/>
      </w:pPr>
      <w:r>
        <w:rPr>
          <w:rFonts w:ascii="Times New Roman" w:hAnsi="Times New Roman"/>
          <w:b/>
          <w:color w:val="000000"/>
          <w:sz w:val="18"/>
        </w:rPr>
        <w:t>FIGURE 6. Coefficient stability relative to the full model</w:t>
      </w:r>
    </w:p>
    <w:p>
      <w:pPr>
        <w:sectPr>
          <w:pgSz w:w="11909" w:h="16834"/>
          <w:pgMar w:top="1440" w:right="1440" w:bottom="1440" w:left="1440" w:header="720" w:footer="720" w:gutter="0"/>
          <w:docGrid w:linePitch="360"/>
          <w:type w:val="continuous"/>
          <w:cols w:num="1" w:space="708"/>
        </w:sectPr>
      </w:pPr>
    </w:p>
    <w:p>
      <w:pPr>
        <w:keepNext/>
        <w:spacing w:before="160" w:after="40"/>
        <w:jc w:val="left"/>
      </w:pPr>
      <w:r>
        <w:rPr>
          <w:rFonts w:ascii="Times New Roman" w:hAnsi="Times New Roman"/>
          <w:b/>
          <w:color w:val="000000"/>
          <w:sz w:val="19"/>
        </w:rPr>
        <w:t>Implications and Limitations</w:t>
      </w:r>
    </w:p>
    <w:p>
      <w:pPr>
        <w:spacing w:before="0" w:after="80" w:line="252" w:lineRule="auto"/>
        <w:jc w:val="both"/>
      </w:pPr>
      <w:r>
        <w:rPr>
          <w:rFonts w:ascii="Times New Roman" w:hAnsi="Times New Roman"/>
          <w:sz w:val="19"/>
        </w:rPr>
        <w:t>The empirical findings support prioritizing service reliability: enhancing operational schedule adherence and ensuring consistent arrival information represent critical policy levers for bolstering public transport competitiveness against private vehicles (Eldeeb &amp; Mohamed 2020; Ranjan &amp; Sinha 2024). The significant positive ASC for private vehicles indicates that deeply entrenched habits, perceived convenience, privacy, and motor vehicle availability remain formidable impediments to voluntary modal shift in Indonesian urban settings (Ranjan &amp; Sinha 2024; Zhao et al. 2020). Furthermore, the insights gained from transfer and access considerations highlight the pressing necessity to improve pedestrian infrastructure and physical integration around feeder bus stops and LRT stations to alleviate transfer friction (Ramos-Santiago 2022; Lu et al. 2023). Urban transport policy in Palembang must therefore look beyond simple fare subsidies or in-vehicle speed enhancements, focusing instead on mitigating arrival uncertainty and upgrading active first-mile/last-mile access environments (Lieu &amp; Akar 2025).</w:t>
      </w:r>
    </w:p>
    <w:p>
      <w:pPr>
        <w:spacing w:before="0" w:after="80" w:line="252" w:lineRule="auto"/>
        <w:jc w:val="both"/>
      </w:pPr>
      <w:r>
        <w:rPr>
          <w:rFonts w:ascii="Times New Roman" w:hAnsi="Times New Roman"/>
          <w:sz w:val="19"/>
        </w:rPr>
        <w:t>Interpretation is limited by convenience sampling, unverified trip realisation, two collection modes, and comfort, reliability, headway, and speed parameters partly based on system assumptions. MNL also imposes the independence of irrelevant alternatives property (Train 2009). Low explanatory power and the unexpected access sign indicate the need for observed operations, richer access measures, attitudinal variables, and heterogeneity models (Zhao et al. 2020; Eldeeb &amp; Mohamed 2020).</w:t>
      </w:r>
    </w:p>
    <w:p>
      <w:pPr>
        <w:keepNext/>
        <w:spacing w:before="240" w:after="80"/>
        <w:jc w:val="center"/>
      </w:pPr>
      <w:r>
        <w:rPr>
          <w:rFonts w:ascii="Times New Roman" w:hAnsi="Times New Roman"/>
          <w:b/>
          <w:color w:val="000000"/>
          <w:sz w:val="20"/>
        </w:rPr>
        <w:t>CONCLUSION</w:t>
      </w:r>
    </w:p>
    <w:p>
      <w:pPr>
        <w:spacing w:before="0" w:after="80" w:line="252" w:lineRule="auto"/>
        <w:jc w:val="both"/>
      </w:pPr>
      <w:r>
        <w:rPr>
          <w:rFonts w:ascii="Times New Roman" w:hAnsi="Times New Roman"/>
          <w:sz w:val="19"/>
        </w:rPr>
        <w:t>This study links application-generated choice sets for routine trips with MNL analysis of mode choice in Palembang’s integrated public transport network. Of 400 respondents, 318 observations met the quality rules. MNL+ASC performed better than the basic model, but explanatory power remained low. Reliability and the baseline inclination towards private vehicles were significant and stable, whereas time, cost, and transfers were insignificant. Access contributed statistical information but had a theoretically unexpected sign and cannot support direct behavioural interpretation.</w:t>
      </w:r>
    </w:p>
    <w:p>
      <w:pPr>
        <w:spacing w:before="0" w:after="80" w:line="252" w:lineRule="auto"/>
        <w:jc w:val="both"/>
      </w:pPr>
      <w:r>
        <w:rPr>
          <w:rFonts w:ascii="Times New Roman" w:hAnsi="Times New Roman"/>
          <w:sz w:val="19"/>
        </w:rPr>
        <w:t>The findings direct service improvement towards reliability and omitted factors sustaining private-vehicle use. The no-transfer model supports partial robustness, but unstable time and cost signs require caution. Coefficients have not been deployed for production recommendations. Further validation should combine observed operations, realised trips, validated perception measures, and more representative sampling.</w:t>
      </w:r>
    </w:p>
    <w:p>
      <w:pPr>
        <w:keepNext/>
        <w:spacing w:before="240" w:after="80"/>
        <w:jc w:val="center"/>
      </w:pPr>
      <w:r>
        <w:rPr>
          <w:rFonts w:ascii="Times New Roman" w:hAnsi="Times New Roman"/>
          <w:b/>
          <w:color w:val="000000"/>
          <w:sz w:val="20"/>
        </w:rPr>
        <w:t>ACKNOWLEDGEMENT</w:t>
      </w:r>
    </w:p>
    <w:p>
      <w:pPr>
        <w:spacing w:before="0" w:after="80" w:line="252" w:lineRule="auto"/>
        <w:jc w:val="both"/>
      </w:pPr>
      <w:r>
        <w:rPr>
          <w:rFonts w:ascii="Times New Roman" w:hAnsi="Times New Roman"/>
          <w:sz w:val="19"/>
        </w:rPr>
        <w:t>This research was supported by `[FUNDING AGENCY]` under grant number `[GRANT NUMBER]`.</w:t>
      </w:r>
    </w:p>
    <w:p>
      <w:pPr>
        <w:keepNext/>
        <w:spacing w:before="240" w:after="80"/>
        <w:jc w:val="center"/>
      </w:pPr>
      <w:r>
        <w:rPr>
          <w:rFonts w:ascii="Times New Roman" w:hAnsi="Times New Roman"/>
          <w:b/>
          <w:color w:val="000000"/>
          <w:sz w:val="20"/>
        </w:rPr>
        <w:t>DECLARATION OF COMPETING INTEREST</w:t>
      </w:r>
    </w:p>
    <w:p>
      <w:pPr>
        <w:spacing w:before="0" w:after="80" w:line="252" w:lineRule="auto"/>
        <w:jc w:val="both"/>
      </w:pPr>
      <w:r>
        <w:rPr>
          <w:rFonts w:ascii="Times New Roman" w:hAnsi="Times New Roman"/>
          <w:sz w:val="19"/>
        </w:rPr>
        <w:t>None.</w:t>
      </w:r>
    </w:p>
    <w:p>
      <w:pPr>
        <w:keepNext/>
        <w:spacing w:before="240" w:after="80"/>
        <w:jc w:val="center"/>
      </w:pPr>
      <w:r>
        <w:rPr>
          <w:rFonts w:ascii="Times New Roman" w:hAnsi="Times New Roman"/>
          <w:b/>
          <w:color w:val="000000"/>
          <w:sz w:val="20"/>
        </w:rPr>
        <w:t>REFERENCES</w:t>
      </w:r>
    </w:p>
    <w:p>
      <w:pPr>
        <w:spacing w:before="0" w:after="80" w:line="252" w:lineRule="auto"/>
        <w:jc w:val="both"/>
      </w:pPr>
      <w:r>
        <w:rPr>
          <w:rFonts w:ascii="Times New Roman" w:hAnsi="Times New Roman"/>
          <w:sz w:val="19"/>
        </w:rPr>
        <w:t xml:space="preserve">Badan Pusat Statistik Kota Palembang. 2024. </w:t>
      </w:r>
      <w:r>
        <w:rPr>
          <w:rFonts w:ascii="Times New Roman" w:hAnsi="Times New Roman"/>
          <w:i/>
          <w:sz w:val="19"/>
        </w:rPr>
        <w:t>Kota Palembang dalam Angka 2024</w:t>
      </w:r>
      <w:r>
        <w:rPr>
          <w:rFonts w:ascii="Times New Roman" w:hAnsi="Times New Roman"/>
          <w:sz w:val="19"/>
        </w:rPr>
        <w:t>. Palembang: BPS Kota Palembang.</w:t>
      </w:r>
    </w:p>
    <w:p>
      <w:pPr>
        <w:spacing w:before="0" w:after="80" w:line="252" w:lineRule="auto"/>
        <w:jc w:val="both"/>
      </w:pPr>
      <w:r>
        <w:rPr>
          <w:rFonts w:ascii="Times New Roman" w:hAnsi="Times New Roman"/>
          <w:sz w:val="19"/>
        </w:rPr>
        <w:t xml:space="preserve">Ben-Akiva, M. &amp; Lerman, S.R. 1985. </w:t>
      </w:r>
      <w:r>
        <w:rPr>
          <w:rFonts w:ascii="Times New Roman" w:hAnsi="Times New Roman"/>
          <w:i/>
          <w:sz w:val="19"/>
        </w:rPr>
        <w:t>Discrete Choice Analysis: Theory and Application to Travel Demand</w:t>
      </w:r>
      <w:r>
        <w:rPr>
          <w:rFonts w:ascii="Times New Roman" w:hAnsi="Times New Roman"/>
          <w:sz w:val="19"/>
        </w:rPr>
        <w:t>. Cambridge, MA: MIT Press.</w:t>
      </w:r>
    </w:p>
    <w:p>
      <w:pPr>
        <w:spacing w:before="0" w:after="80" w:line="252" w:lineRule="auto"/>
        <w:jc w:val="both"/>
      </w:pPr>
      <w:r>
        <w:rPr>
          <w:rFonts w:ascii="Times New Roman" w:hAnsi="Times New Roman"/>
          <w:sz w:val="19"/>
        </w:rPr>
        <w:t xml:space="preserve">Dijkstra, E.W. 1959. A note on two problems in connexion with graphs. </w:t>
      </w:r>
      <w:r>
        <w:rPr>
          <w:rFonts w:ascii="Times New Roman" w:hAnsi="Times New Roman"/>
          <w:i/>
          <w:sz w:val="19"/>
        </w:rPr>
        <w:t>Numerische Mathematik</w:t>
      </w:r>
      <w:r>
        <w:rPr>
          <w:rFonts w:ascii="Times New Roman" w:hAnsi="Times New Roman"/>
          <w:sz w:val="19"/>
        </w:rPr>
        <w:t xml:space="preserve"> 1: 269–271. https://doi.org/10.1007/BF01386390</w:t>
      </w:r>
    </w:p>
    <w:p>
      <w:pPr>
        <w:spacing w:before="0" w:after="80" w:line="252" w:lineRule="auto"/>
        <w:jc w:val="both"/>
      </w:pPr>
      <w:r>
        <w:rPr>
          <w:rFonts w:ascii="Times New Roman" w:hAnsi="Times New Roman"/>
          <w:sz w:val="19"/>
        </w:rPr>
        <w:t xml:space="preserve">Direktorat Jenderal Perkeretaapian. 2023. </w:t>
      </w:r>
      <w:r>
        <w:rPr>
          <w:rFonts w:ascii="Times New Roman" w:hAnsi="Times New Roman"/>
          <w:i/>
          <w:sz w:val="19"/>
        </w:rPr>
        <w:t>Profil Pengoperasian LRT Sumatera Selatan</w:t>
      </w:r>
      <w:r>
        <w:rPr>
          <w:rFonts w:ascii="Times New Roman" w:hAnsi="Times New Roman"/>
          <w:sz w:val="19"/>
        </w:rPr>
        <w:t>. Jakarta: Kementerian Perhubungan Republik Indonesia.</w:t>
      </w:r>
    </w:p>
    <w:p>
      <w:pPr>
        <w:spacing w:before="0" w:after="80" w:line="252" w:lineRule="auto"/>
        <w:jc w:val="both"/>
      </w:pPr>
      <w:r>
        <w:rPr>
          <w:rFonts w:ascii="Times New Roman" w:hAnsi="Times New Roman"/>
          <w:sz w:val="19"/>
        </w:rPr>
        <w:t xml:space="preserve">Eldeeb, G. &amp; Mohamed, M. 2020. Quantifying preference heterogeneity in transit service desired quality using a latent class choice model. </w:t>
      </w:r>
      <w:r>
        <w:rPr>
          <w:rFonts w:ascii="Times New Roman" w:hAnsi="Times New Roman"/>
          <w:i/>
          <w:sz w:val="19"/>
        </w:rPr>
        <w:t>Transportation Research Part A: Policy and Practice</w:t>
      </w:r>
      <w:r>
        <w:rPr>
          <w:rFonts w:ascii="Times New Roman" w:hAnsi="Times New Roman"/>
          <w:sz w:val="19"/>
        </w:rPr>
        <w:t xml:space="preserve"> 139: 119–133. https://doi.org/10.1016/j.tra.2020.07.006</w:t>
      </w:r>
    </w:p>
    <w:p>
      <w:pPr>
        <w:spacing w:before="0" w:after="80" w:line="252" w:lineRule="auto"/>
        <w:jc w:val="both"/>
      </w:pPr>
      <w:r>
        <w:rPr>
          <w:rFonts w:ascii="Times New Roman" w:hAnsi="Times New Roman"/>
          <w:sz w:val="19"/>
        </w:rPr>
        <w:t xml:space="preserve">Lieu, S. &amp; Akar, G. 2025. Understanding rail users' mode choice behavior for first and last mile travel. </w:t>
      </w:r>
      <w:r>
        <w:rPr>
          <w:rFonts w:ascii="Times New Roman" w:hAnsi="Times New Roman"/>
          <w:i/>
          <w:sz w:val="19"/>
        </w:rPr>
        <w:t>Journal of Transport Geography</w:t>
      </w:r>
      <w:r>
        <w:rPr>
          <w:rFonts w:ascii="Times New Roman" w:hAnsi="Times New Roman"/>
          <w:sz w:val="19"/>
        </w:rPr>
        <w:t xml:space="preserve"> 125: 104214. https://doi.org/10.1016/j.jtrangeo.2025.104214</w:t>
      </w:r>
    </w:p>
    <w:p>
      <w:pPr>
        <w:spacing w:before="0" w:after="80" w:line="252" w:lineRule="auto"/>
        <w:jc w:val="both"/>
      </w:pPr>
      <w:r>
        <w:rPr>
          <w:rFonts w:ascii="Times New Roman" w:hAnsi="Times New Roman"/>
          <w:sz w:val="19"/>
        </w:rPr>
        <w:t xml:space="preserve">Lu, Y., Prato, C.G. &amp; Sipe, N. 2023. Understanding the role of household modality style on first and last mile travel mode choice and public transit station choice. </w:t>
      </w:r>
      <w:r>
        <w:rPr>
          <w:rFonts w:ascii="Times New Roman" w:hAnsi="Times New Roman"/>
          <w:i/>
          <w:sz w:val="19"/>
        </w:rPr>
        <w:t>Travel Behaviour and Society</w:t>
      </w:r>
      <w:r>
        <w:rPr>
          <w:rFonts w:ascii="Times New Roman" w:hAnsi="Times New Roman"/>
          <w:sz w:val="19"/>
        </w:rPr>
        <w:t xml:space="preserve"> 32: 100580. https://doi.org/10.1016/j.tbs.2023.100580</w:t>
      </w:r>
    </w:p>
    <w:p>
      <w:pPr>
        <w:spacing w:before="0" w:after="80" w:line="252" w:lineRule="auto"/>
        <w:jc w:val="both"/>
      </w:pPr>
      <w:r>
        <w:rPr>
          <w:rFonts w:ascii="Times New Roman" w:hAnsi="Times New Roman"/>
          <w:sz w:val="19"/>
        </w:rPr>
        <w:t xml:space="preserve">McFadden, D. 1974. Conditional logit analysis of qualitative choice behavior. In </w:t>
      </w:r>
      <w:r>
        <w:rPr>
          <w:rFonts w:ascii="Times New Roman" w:hAnsi="Times New Roman"/>
          <w:i/>
          <w:sz w:val="19"/>
        </w:rPr>
        <w:t>Frontiers in Econometrics</w:t>
      </w:r>
      <w:r>
        <w:rPr>
          <w:rFonts w:ascii="Times New Roman" w:hAnsi="Times New Roman"/>
          <w:sz w:val="19"/>
        </w:rPr>
        <w:t>, edited by P. Zarembka, 105–142. New York: Academic Press.</w:t>
      </w:r>
    </w:p>
    <w:p>
      <w:pPr>
        <w:spacing w:before="0" w:after="80" w:line="252" w:lineRule="auto"/>
        <w:jc w:val="both"/>
      </w:pPr>
      <w:r>
        <w:rPr>
          <w:rFonts w:ascii="Times New Roman" w:hAnsi="Times New Roman"/>
          <w:sz w:val="19"/>
        </w:rPr>
        <w:t xml:space="preserve">Ramos-Santiago, L. 2022. Does walkability around feeder bus-stops influence rapid-transit station boardings? </w:t>
      </w:r>
      <w:r>
        <w:rPr>
          <w:rFonts w:ascii="Times New Roman" w:hAnsi="Times New Roman"/>
          <w:i/>
          <w:sz w:val="19"/>
        </w:rPr>
        <w:t>Journal of Public Transportation</w:t>
      </w:r>
      <w:r>
        <w:rPr>
          <w:rFonts w:ascii="Times New Roman" w:hAnsi="Times New Roman"/>
          <w:sz w:val="19"/>
        </w:rPr>
        <w:t xml:space="preserve"> 24: 100026. https://doi.org/10.1016/j.jpubtr.2022.100026</w:t>
      </w:r>
    </w:p>
    <w:p>
      <w:pPr>
        <w:spacing w:before="0" w:after="80" w:line="252" w:lineRule="auto"/>
        <w:jc w:val="both"/>
      </w:pPr>
      <w:r>
        <w:rPr>
          <w:rFonts w:ascii="Times New Roman" w:hAnsi="Times New Roman"/>
          <w:sz w:val="19"/>
        </w:rPr>
        <w:t xml:space="preserve">Ranjan, R. &amp; Sinha, S. 2024. Mode choice analysis for work trips of urban residents using multinomial logit model. </w:t>
      </w:r>
      <w:r>
        <w:rPr>
          <w:rFonts w:ascii="Times New Roman" w:hAnsi="Times New Roman"/>
          <w:i/>
          <w:sz w:val="19"/>
        </w:rPr>
        <w:t>Innovative Infrastructure Solutions</w:t>
      </w:r>
      <w:r>
        <w:rPr>
          <w:rFonts w:ascii="Times New Roman" w:hAnsi="Times New Roman"/>
          <w:sz w:val="19"/>
        </w:rPr>
        <w:t xml:space="preserve"> 9(5): 181. https://doi.org/10.1007/s41062-024-01681-5</w:t>
      </w:r>
    </w:p>
    <w:p>
      <w:pPr>
        <w:spacing w:before="0" w:after="80" w:line="252" w:lineRule="auto"/>
        <w:jc w:val="both"/>
      </w:pPr>
      <w:r>
        <w:rPr>
          <w:rFonts w:ascii="Times New Roman" w:hAnsi="Times New Roman"/>
          <w:sz w:val="19"/>
        </w:rPr>
        <w:t xml:space="preserve">Train, K.E. 2009. </w:t>
      </w:r>
      <w:r>
        <w:rPr>
          <w:rFonts w:ascii="Times New Roman" w:hAnsi="Times New Roman"/>
          <w:i/>
          <w:sz w:val="19"/>
        </w:rPr>
        <w:t>Discrete Choice Methods with Simulation</w:t>
      </w:r>
      <w:r>
        <w:rPr>
          <w:rFonts w:ascii="Times New Roman" w:hAnsi="Times New Roman"/>
          <w:sz w:val="19"/>
        </w:rPr>
        <w:t>. 2nd ed. Cambridge: Cambridge University Press.</w:t>
      </w:r>
    </w:p>
    <w:p>
      <w:pPr>
        <w:spacing w:before="0" w:after="80" w:line="252" w:lineRule="auto"/>
        <w:jc w:val="both"/>
      </w:pPr>
      <w:r>
        <w:rPr>
          <w:rFonts w:ascii="Times New Roman" w:hAnsi="Times New Roman"/>
          <w:sz w:val="19"/>
        </w:rPr>
        <w:t xml:space="preserve">Zhao, X., Yan, X., Yu, A. &amp; Van Hentenryck, P. 2020. Prediction and behavioral analysis of travel mode choice: A comparison of machine learning and logit models. </w:t>
      </w:r>
      <w:r>
        <w:rPr>
          <w:rFonts w:ascii="Times New Roman" w:hAnsi="Times New Roman"/>
          <w:i/>
          <w:sz w:val="19"/>
        </w:rPr>
        <w:t>Travel Behaviour and Society</w:t>
      </w:r>
      <w:r>
        <w:rPr>
          <w:rFonts w:ascii="Times New Roman" w:hAnsi="Times New Roman"/>
          <w:sz w:val="19"/>
        </w:rPr>
        <w:t xml:space="preserve"> 20: 22–35. https://doi.org/10.1016/j.tbs.2020.02.003</w:t>
      </w:r>
    </w:p>
    <w:sectPr w:rsidR="00FC693F" w:rsidRPr="0006063C" w:rsidSect="00034616">
      <w:pgSz w:w="11909" w:h="16834"/>
      <w:pgMar w:top="1440" w:right="1440" w:bottom="1440" w:left="1440" w:header="720" w:footer="720" w:gutter="0"/>
      <w:docGrid w:linePitch="360"/>
      <w:type w:val="continuous"/>
      <w:cols w:num="2"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