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Pemodelan Pemilihan Moda dalam Jaringan Transportasi Publik Terintegrasi di Kota Palembang Menggunakan Multinomial Logit</w:t>
      </w:r>
    </w:p>
    <w:p>
      <w:pPr>
        <w:spacing w:before="200" w:after="120"/>
        <w:jc w:val="center"/>
      </w:pPr>
      <w:r>
        <w:rPr>
          <w:rFonts w:ascii="Times New Roman" w:hAnsi="Times New Roman"/>
          <w:b/>
          <w:color w:val="000000"/>
          <w:sz w:val="21"/>
        </w:rPr>
        <w:t>ABSTRAK</w:t>
      </w:r>
    </w:p>
    <w:p>
      <w:pPr>
        <w:spacing w:before="0" w:after="80" w:line="252" w:lineRule="auto"/>
        <w:jc w:val="both"/>
      </w:pPr>
      <w:r>
        <w:rPr>
          <w:rFonts w:ascii="Times New Roman" w:hAnsi="Times New Roman"/>
          <w:sz w:val="20"/>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8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PENDAHULUAN</w:t>
      </w:r>
    </w:p>
    <w:p>
      <w:pPr>
        <w:spacing w:before="0" w:after="80" w:line="252" w:lineRule="auto"/>
        <w:jc w:val="both"/>
      </w:pPr>
      <w:r>
        <w:rPr>
          <w:rFonts w:ascii="Times New Roman" w:hAnsi="Times New Roman"/>
          <w:sz w:val="19"/>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80" w:line="252" w:lineRule="auto"/>
        <w:jc w:val="both"/>
      </w:pPr>
      <w:r>
        <w:rPr>
          <w:rFonts w:ascii="Times New Roman" w:hAnsi="Times New Roman"/>
          <w:sz w:val="19"/>
        </w:rPr>
        <w:t>Kerangka utilitas acak memodelkan pilihan sebagai hasil perbandingan utilitas alternatif (McFadden 1974; Ben-Akiva &amp; Lerman 1985). Multinomial Logit (MNL) tetap menjadi landasan utama analisis pemilihan moda kontemporer karena menghubungkan probabilitas pilihan secara langsung dengan atribut perjalanan dan memungkinkan estimasi parameter melalui maximum likelihood (Train 2009; Zhao et al. 2020). Berbagai studi mutakhir menunjukkan bahwa waktu tempuh dan biaya merupakan disutilitas utama, sementara kualitas layanan, kenyamanan, dan keandalan operasional meningkatkan daya tarik angkutan umum secara signifikan (Eldeeb &amp; Mohamed 2020; Ranjan &amp; Sinha 2024). Di samping itu, kemudahan transfer dan jarak akses first-mile/last-mile terbukti menjadi faktor krusial yang menentukan apakah pengguna bersedia beralih dari kendaraan pribadi menuju sistem transit berbasis rel maupun bus pengumpan (Lu et al. 2023; Ramos-Santiago 2022; Lieu &amp; Akar 2025).</w:t>
      </w:r>
    </w:p>
    <w:p>
      <w:pPr>
        <w:spacing w:before="0" w:after="80" w:line="252" w:lineRule="auto"/>
        <w:jc w:val="both"/>
      </w:pPr>
      <w:r>
        <w:rPr>
          <w:rFonts w:ascii="Times New Roman" w:hAnsi="Times New Roman"/>
          <w:sz w:val="19"/>
        </w:rPr>
        <w:t>Meskipun demikian, model logit multinomial dasar menghadapi tantangan dalam menangkap preferensi intrinsik yang belum teramati. Pilihan moda sering kali dipengaruhi oleh kebiasaan, ketersediaan moda, atau persepsi fleksibilitas yang tidak sepenuhnya terwakili oleh variabel tingkat layanan (Zhao et al. 2020; Ranjan &amp; Sinha 2024). Oleh karena itu, penyertaan konstanta spesifik alternatif (alternative-specific constant/ASC) menjadi esensial untuk memisahkan preferensi bawaan terhadap moda tertentu dari pengaruh atribut perjalanan yang terukur (Ben-Akiva &amp; Lerman 1985; Train 2009). Selain itu, penyusunan alternatif perjalanan yang realistis dan relevan dengan aktivitas rutin pelaku perjalanan menjadi kunci dalam menghasilkan model perilaku yang andal (Lu et al. 2023).</w:t>
      </w:r>
    </w:p>
    <w:p>
      <w:pPr>
        <w:spacing w:before="0" w:after="80" w:line="252" w:lineRule="auto"/>
        <w:jc w:val="both"/>
      </w:pPr>
      <w:r>
        <w:rPr>
          <w:rFonts w:ascii="Times New Roman" w:hAnsi="Times New Roman"/>
          <w:sz w:val="19"/>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40" w:after="80"/>
        <w:jc w:val="center"/>
      </w:pPr>
      <w:r>
        <w:rPr>
          <w:rFonts w:ascii="Times New Roman" w:hAnsi="Times New Roman"/>
          <w:b/>
          <w:color w:val="000000"/>
          <w:sz w:val="20"/>
        </w:rPr>
        <w:t>METODOLOGI</w:t>
      </w:r>
    </w:p>
    <w:p>
      <w:pPr>
        <w:keepNext/>
        <w:spacing w:before="160" w:after="40"/>
        <w:jc w:val="left"/>
      </w:pPr>
      <w:r>
        <w:rPr>
          <w:rFonts w:ascii="Times New Roman" w:hAnsi="Times New Roman"/>
          <w:b/>
          <w:color w:val="000000"/>
          <w:sz w:val="19"/>
        </w:rPr>
        <w:t>Konteks Studi dan Jaringan Transportasi</w:t>
      </w:r>
    </w:p>
    <w:p>
      <w:pPr>
        <w:spacing w:before="0" w:after="80" w:line="252" w:lineRule="auto"/>
        <w:jc w:val="both"/>
      </w:pPr>
      <w:r>
        <w:rPr>
          <w:rFonts w:ascii="Times New Roman" w:hAnsi="Times New Roman"/>
          <w:sz w:val="19"/>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160" w:after="40"/>
        <w:jc w:val="left"/>
      </w:pPr>
      <w:r>
        <w:rPr>
          <w:rFonts w:ascii="Times New Roman" w:hAnsi="Times New Roman"/>
          <w:b/>
          <w:color w:val="000000"/>
          <w:sz w:val="19"/>
        </w:rPr>
        <w:t>Pembentukan Choice Set oleh Aplikasi</w:t>
      </w:r>
    </w:p>
    <w:p>
      <w:pPr>
        <w:spacing w:before="0" w:after="80" w:line="252" w:lineRule="auto"/>
        <w:jc w:val="both"/>
      </w:pPr>
      <w:r>
        <w:rPr>
          <w:rFonts w:ascii="Times New Roman" w:hAnsi="Times New Roman"/>
          <w:sz w:val="19"/>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GAMBAR 1. Alur pembentukan alternatif, pengumpulan pilihan, audit data, dan estimasi MNL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Desain Survei dan Pengumpulan Data</w:t>
      </w:r>
    </w:p>
    <w:p>
      <w:pPr>
        <w:spacing w:before="0" w:after="80" w:line="252" w:lineRule="auto"/>
        <w:jc w:val="both"/>
      </w:pPr>
      <w:r>
        <w:rPr>
          <w:rFonts w:ascii="Times New Roman" w:hAnsi="Times New Roman"/>
          <w:sz w:val="19"/>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160" w:after="40"/>
        <w:jc w:val="left"/>
      </w:pPr>
      <w:r>
        <w:rPr>
          <w:rFonts w:ascii="Times New Roman" w:hAnsi="Times New Roman"/>
          <w:b/>
          <w:color w:val="000000"/>
          <w:sz w:val="19"/>
        </w:rPr>
        <w:t>Variabel</w:t>
      </w:r>
    </w:p>
    <w:p>
      <w:pPr>
        <w:keepNext/>
        <w:spacing w:before="40" w:after="160"/>
        <w:jc w:val="center"/>
      </w:pPr>
      <w:r>
        <w:rPr>
          <w:rFonts w:ascii="Times New Roman" w:hAnsi="Times New Roman"/>
          <w:b/>
          <w:color w:val="000000"/>
          <w:sz w:val="18"/>
        </w:rPr>
        <w:t>TABEL 1. Definisi variabel model</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Definisi dan satuan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Dugaan tanda</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waktu perjalanan, menit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biaya perjalanan,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Jumlah pergantian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first/last-mile,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Indikator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Tidak ditentukan</w:t>
            </w:r>
          </w:p>
        </w:tc>
      </w:tr>
    </w:tbl>
    <w:p>
      <w:pPr>
        <w:spacing w:before="0" w:after="80"/>
      </w:pPr>
    </w:p>
    <w:p>
      <w:pPr>
        <w:spacing w:before="0" w:after="80" w:line="252" w:lineRule="auto"/>
        <w:jc w:val="both"/>
      </w:pPr>
      <w:r>
        <w:rPr>
          <w:rFonts w:ascii="Times New Roman" w:hAnsi="Times New Roman"/>
          <w:sz w:val="19"/>
        </w:rPr>
        <w:t>Skor kenyamanan dan keandalan merupakan parameter sistem per moda, bukan pengukuran objektif lapangan. Karena itu, keduanya diperlakukan sebagai proksi dan dibahas sebagai keterbatasan.</w:t>
      </w:r>
    </w:p>
    <w:p>
      <w:pPr>
        <w:keepNext/>
        <w:spacing w:before="40" w:after="160"/>
        <w:jc w:val="center"/>
      </w:pPr>
      <w:r>
        <w:rPr>
          <w:rFonts w:ascii="Times New Roman" w:hAnsi="Times New Roman"/>
          <w:b/>
          <w:color w:val="000000"/>
          <w:sz w:val="18"/>
        </w:rPr>
        <w:t>TABEL 2. Karakteristik 318 responden dalam sampel analisis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Karakteristik</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Kategori dominan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Jenis kelamin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Perempuan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Pekerjaan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Pelajar/mahasiswa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Pendapatan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&lt;Rp1 juta/bulan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Kepemilikan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Tujuan perjalanan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Sekolah/kuliah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Frekuensi angkutan umum</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Beberapa kali seminggu</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Delapan observasi tidak memiliki profil lengkap; persentase pada tabel menggunakan seluruh sampel analisis sebagai penyebut.</w:t>
      </w:r>
    </w:p>
    <w:p>
      <w:pPr>
        <w:keepNext/>
        <w:spacing w:before="160" w:after="40"/>
        <w:jc w:val="left"/>
      </w:pPr>
      <w:r>
        <w:rPr>
          <w:rFonts w:ascii="Times New Roman" w:hAnsi="Times New Roman"/>
          <w:b/>
          <w:color w:val="000000"/>
          <w:sz w:val="19"/>
        </w:rPr>
        <w:t>Audit dan Pembersihan Data</w:t>
      </w:r>
    </w:p>
    <w:p>
      <w:pPr>
        <w:spacing w:before="0" w:after="80" w:line="252" w:lineRule="auto"/>
        <w:jc w:val="both"/>
      </w:pPr>
      <w:r>
        <w:rPr>
          <w:rFonts w:ascii="Times New Roman" w:hAnsi="Times New Roman"/>
          <w:sz w:val="19"/>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keepNext/>
        <w:spacing w:before="40" w:after="160"/>
        <w:jc w:val="center"/>
      </w:pPr>
      <w:r>
        <w:rPr>
          <w:rFonts w:ascii="Times New Roman" w:hAnsi="Times New Roman"/>
          <w:b/>
          <w:color w:val="000000"/>
          <w:sz w:val="18"/>
        </w:rPr>
        <w:t>TABEL 3. Alur pembentukan sampel analisis</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Tahap</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Observasi</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Data sumber</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nilai ekstrem</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&lt;2 alternatif unik</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Sampel analisis final</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Sebanyak 136 baris alternatif duplikat digabung, menghasilkan 748 baris alternatif final. Checksum SHA-256 sumber adalah `93fcf7d061e8e294f2ebefd8dc8a52b7b5632484085b960e30820fc615219c2a`.</w:t>
      </w:r>
    </w:p>
    <w:p>
      <w:pPr>
        <w:keepNext/>
        <w:spacing w:before="160" w:after="40"/>
        <w:jc w:val="left"/>
      </w:pPr>
      <w:r>
        <w:rPr>
          <w:rFonts w:ascii="Times New Roman" w:hAnsi="Times New Roman"/>
          <w:b/>
          <w:color w:val="000000"/>
          <w:sz w:val="19"/>
        </w:rPr>
        <w:t>Spesifikasi MNL</w:t>
      </w:r>
    </w:p>
    <w:p>
      <w:pPr>
        <w:spacing w:before="0" w:after="80" w:line="252" w:lineRule="auto"/>
        <w:jc w:val="both"/>
      </w:pPr>
      <w:r>
        <w:rPr>
          <w:rFonts w:ascii="Times New Roman" w:hAnsi="Times New Roman"/>
          <w:sz w:val="19"/>
        </w:rPr>
        <w:t>Utilitas alternatif $j$ bagi responden $i$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Probabilitas model logit multinomial (MNL)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Model utama menambahkan $\alpha_{\text{private}} I(\text{private})_{ij}$, dengan transportasi publik sebagai kategori acuan. Parameter diestimasi menggunakan Newton–Raphson. Inferensi utama menggunakan standard error biasa karena setiap UUID final hanya menyumbang satu observasi. Kecocokan dinilai melalui log-likelihood, McFadden $\rho^2$, AIC, dan BIC.</w:t>
      </w:r>
    </w:p>
    <w:p>
      <w:pPr>
        <w:keepNext/>
        <w:spacing w:before="160" w:after="40"/>
        <w:jc w:val="left"/>
      </w:pPr>
      <w:r>
        <w:rPr>
          <w:rFonts w:ascii="Times New Roman" w:hAnsi="Times New Roman"/>
          <w:b/>
          <w:color w:val="000000"/>
          <w:sz w:val="19"/>
        </w:rPr>
        <w:t>Analisis Sensitivitas</w:t>
      </w:r>
    </w:p>
    <w:p>
      <w:pPr>
        <w:spacing w:before="0" w:after="80" w:line="252" w:lineRule="auto"/>
        <w:jc w:val="both"/>
      </w:pPr>
      <w:r>
        <w:rPr>
          <w:rFonts w:ascii="Times New Roman" w:hAnsi="Times New Roman"/>
          <w:sz w:val="19"/>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40" w:after="80"/>
        <w:jc w:val="center"/>
      </w:pPr>
      <w:r>
        <w:rPr>
          <w:rFonts w:ascii="Times New Roman" w:hAnsi="Times New Roman"/>
          <w:b/>
          <w:color w:val="000000"/>
          <w:sz w:val="20"/>
        </w:rPr>
        <w:t>HASIL DAN PEMBAHASAN</w:t>
      </w:r>
    </w:p>
    <w:p>
      <w:pPr>
        <w:keepNext/>
        <w:spacing w:before="160" w:after="40"/>
        <w:jc w:val="left"/>
      </w:pPr>
      <w:r>
        <w:rPr>
          <w:rFonts w:ascii="Times New Roman" w:hAnsi="Times New Roman"/>
          <w:b/>
          <w:color w:val="000000"/>
          <w:sz w:val="19"/>
        </w:rPr>
        <w:t>Sampel Analisis dan Pola Pilihan</w:t>
      </w:r>
    </w:p>
    <w:p>
      <w:pPr>
        <w:spacing w:before="0" w:after="80" w:line="252" w:lineRule="auto"/>
        <w:jc w:val="both"/>
      </w:pPr>
      <w:r>
        <w:rPr>
          <w:rFonts w:ascii="Times New Roman" w:hAnsi="Times New Roman"/>
          <w:sz w:val="19"/>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GAMBAR 2. Distribusi pilihan berdasarkan kelompok moda</w:t>
      </w:r>
    </w:p>
    <w:p>
      <w:pPr>
        <w:keepNext/>
        <w:spacing w:before="160" w:after="40"/>
        <w:jc w:val="left"/>
      </w:pPr>
      <w:r>
        <w:rPr>
          <w:rFonts w:ascii="Times New Roman" w:hAnsi="Times New Roman"/>
          <w:b/>
          <w:color w:val="000000"/>
          <w:sz w:val="19"/>
        </w:rPr>
        <w:t>Variasi dan Korelasi Atribut</w:t>
      </w:r>
    </w:p>
    <w:p>
      <w:pPr>
        <w:spacing w:before="0" w:after="80" w:line="252" w:lineRule="auto"/>
        <w:jc w:val="both"/>
      </w:pPr>
      <w:r>
        <w:rPr>
          <w:rFonts w:ascii="Times New Roman" w:hAnsi="Times New Roman"/>
          <w:sz w:val="19"/>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GAMBAR 3. Variasi dalam choice set (Panel A) dan korelasi atribut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Hasil Estimasi MNL</w:t>
      </w:r>
    </w:p>
    <w:p>
      <w:pPr>
        <w:keepNext/>
        <w:spacing w:before="40" w:after="160"/>
        <w:jc w:val="center"/>
      </w:pPr>
      <w:r>
        <w:rPr>
          <w:rFonts w:ascii="Times New Roman" w:hAnsi="Times New Roman"/>
          <w:b/>
          <w:color w:val="000000"/>
          <w:sz w:val="18"/>
        </w:rPr>
        <w:t>TABEL 4. Estimasi model dasar dan model dengan ASC kendaraan pribadi</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Model dasar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signifikan pada 5% (|t|&gt;1.96); SE biasa dalam tanda kurung.</w:t>
      </w:r>
    </w:p>
    <w:p>
      <w:pPr>
        <w:spacing w:before="0" w:after="80" w:line="252" w:lineRule="auto"/>
        <w:jc w:val="both"/>
      </w:pPr>
      <w:r>
        <w:rPr>
          <w:rFonts w:ascii="Times New Roman" w:hAnsi="Times New Roman"/>
          <w:sz w:val="19"/>
        </w:rPr>
        <w:t>ASC meningkatkan log-likelihood dan menurunkan AIC, walaupun peningkatan ρ² dari 0.0397 menjadi 0.0514 tetap menunjukkan daya jelas rendah. Nilai kecocokan yang moderat ini sejalan dengan temuan studi pemilihan moda perkotaan kontemporer yang menunjukkan bahwa model logit multinomial berbasis atribut tingkat layanan murni sering kali memiliki keterbatasan dalam menjelaskan variasi pilihan individual tanpa menyertakan variabel sikap atau persepsi laten (Zhao et al. 2020; Eldeeb &amp; Mohamed 2020). ASC kendaraan pribadi positif dan signifikan (β=0.610; p&lt;0.05), yang membuktikan adanya preferensi intrinsik terhadap kendaraan pribadi yang kuat di luar atribut waktu dan biaya perjalanan (Ranjan &amp; Sinha 2024). Sementara itu, keandalan berpengaruh positif dan signifikan (β=0.353; p&lt;0.05), menegaskan bahwa kepastian kedatangan armada merupakan determinan krusial dalam keputusan menggunakan angkutan umum (Eldeeb &amp; Mohamed 2020). Waktu dan biaya bertanda negatif sesuai ekspektasi teoritis namun tidak signifikan secara statistik.</w:t>
      </w:r>
    </w:p>
    <w:p>
      <w:pPr>
        <w:spacing w:before="0" w:after="80" w:line="252" w:lineRule="auto"/>
        <w:jc w:val="both"/>
      </w:pPr>
      <w:r>
        <w:rPr>
          <w:rFonts w:ascii="Times New Roman" w:hAnsi="Times New Roman"/>
          <w:sz w:val="19"/>
        </w:rPr>
        <w:t>Jarak akses bertanda positif dan signifikan secara statistik, berlawanan dengan ekspektasi teoritis standar disutilitas perjalanan kaki. Fenomena ini perlu dimaknai secara hati-hati dalam konteks integrasi first-mile/last-mile perkotaan: nilai akses nol pada kendaraan pribadi, perbedaan jangkauan spasial koridor pengumpan (feeder), serta ketergantungan pada proksi jaringan dapat menyebabkan parameter akses menyerap efek struktur spasial atau ketersediaan moda di lokasi asal responden (Lu et al. 2023; Ramos-Santiago 2022; Lieu &amp; Akar 2025). Oleh karena itu, koefisien akses ini tidak ditafsirkan bahwa pelaku perjalanan menyukai jarak jalan kaki yang lebih jauh, melainkan mencerminkan kompleksitas keterjangkauan halte transit di lapangan (Lieu &amp; Akar 2025). Kenyamanan kehilangan signifikansi setelah ASC disertakan, yang mengindikasikan bahwa atribut kenyamanan sistemik beririsan erat dengan identitas moda kendaraan pribadi.</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4. Koefisien model MNL+ASC dan interval kepercayaan 95%</w:t>
      </w:r>
    </w:p>
    <w:p>
      <w:pPr>
        <w:keepNext/>
        <w:spacing w:before="160" w:after="40"/>
        <w:jc w:val="left"/>
      </w:pPr>
      <w:r>
        <w:rPr>
          <w:rFonts w:ascii="Times New Roman" w:hAnsi="Times New Roman"/>
          <w:b/>
          <w:color w:val="000000"/>
          <w:sz w:val="19"/>
        </w:rPr>
        <w:t>Sensitivitas dan Pemilihan Model</w:t>
      </w:r>
    </w:p>
    <w:p>
      <w:pPr>
        <w:keepNext/>
        <w:spacing w:before="40" w:after="160"/>
        <w:jc w:val="center"/>
      </w:pPr>
      <w:r>
        <w:rPr>
          <w:rFonts w:ascii="Times New Roman" w:hAnsi="Times New Roman"/>
          <w:b/>
          <w:color w:val="000000"/>
          <w:sz w:val="18"/>
        </w:rPr>
        <w:t>TABEL 5. Analisis sensitivitas spesifikasi</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Spesifikasi</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Penuh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 &amp;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Tanpa transportasi nonpublik berbayar†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†N=298 sehingga AIC/BIC tidak dibandingkan langsung dengan model N=318.</w:t>
      </w:r>
    </w:p>
    <w:p>
      <w:pPr>
        <w:spacing w:before="0" w:after="80" w:line="252" w:lineRule="auto"/>
        <w:jc w:val="both"/>
      </w:pPr>
      <w:r>
        <w:rPr>
          <w:rFonts w:ascii="Times New Roman" w:hAnsi="Times New Roman"/>
          <w:sz w:val="19"/>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5. AIC dan BIC untuk model dengan sampel yang sama</w:t>
      </w:r>
    </w:p>
    <w:p>
      <w:pPr>
        <w:spacing w:before="0" w:after="80" w:line="252" w:lineRule="auto"/>
        <w:jc w:val="both"/>
      </w:pPr>
      <w:r>
        <w:rPr>
          <w:rFonts w:ascii="Times New Roman" w:hAnsi="Times New Roman"/>
          <w:sz w:val="19"/>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GAMBAR 6. Stabilitas koefisien relatif terhadap model penuh</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Implikasi dan Keterbatasan</w:t>
      </w:r>
    </w:p>
    <w:p>
      <w:pPr>
        <w:spacing w:before="0" w:after="80" w:line="252" w:lineRule="auto"/>
        <w:jc w:val="both"/>
      </w:pPr>
      <w:r>
        <w:rPr>
          <w:rFonts w:ascii="Times New Roman" w:hAnsi="Times New Roman"/>
          <w:sz w:val="19"/>
        </w:rPr>
        <w:t>Hasil mendukung prioritas pada keandalan: jadwal yang lebih dapat diprediksi dan kepastian operasional armada berpotensi memperkuat daya saing transportasi publik secara signifikan (Eldeeb &amp; Mohamed 2020; Ranjan &amp; Sinha 2024). Nilai ASC kendaraan pribadi yang positif dan signifikan mengindikasikan bahwa persepsi kenyamanan pribadi, fleksibilitas, kebiasaan berkendara, atau ketersediaan kendaraan bermotor masih menjadi penghambat utama peralihan moda menuju angkutan massal (Ranjan &amp; Sinha 2024; Zhao et al. 2020). Selain itu, temuan mengenai transfer dan akses menegaskan pentingnya perbaikan konektivitas fisik dan fasilitas pejalan kaki di sekitar halte pengumpan dan stasiun LRT guna meminimalkan hambatan pergantian moda (Ramos-Santiago 2022; Lu et al. 2023). Kebijakan pengelolaan transportasi perkotaan di Palembang sebaiknya tidak hanya bertumpu pada intervensi tarif atau pemangkasan waktu tempuh di dalam kendaraan, melainkan memprioritaskan pengurangan ketidakpastian kedatangan armada dan peningkatan kualitas akses lingkungan transit (Lieu &amp; Akar 2025).</w:t>
      </w:r>
    </w:p>
    <w:p>
      <w:pPr>
        <w:spacing w:before="0" w:after="80" w:line="252" w:lineRule="auto"/>
        <w:jc w:val="both"/>
      </w:pPr>
      <w:r>
        <w:rPr>
          <w:rFonts w:ascii="Times New Roman" w:hAnsi="Times New Roman"/>
          <w:sz w:val="19"/>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 (Zhao et al. 2020; Eldeeb &amp; Mohamed 2020).</w:t>
      </w:r>
    </w:p>
    <w:p>
      <w:pPr>
        <w:keepNext/>
        <w:spacing w:before="240" w:after="80"/>
        <w:jc w:val="center"/>
      </w:pPr>
      <w:r>
        <w:rPr>
          <w:rFonts w:ascii="Times New Roman" w:hAnsi="Times New Roman"/>
          <w:b/>
          <w:color w:val="000000"/>
          <w:sz w:val="20"/>
        </w:rPr>
        <w:t>KESIMPULAN</w:t>
      </w:r>
    </w:p>
    <w:p>
      <w:pPr>
        <w:spacing w:before="0" w:after="80" w:line="252" w:lineRule="auto"/>
        <w:jc w:val="both"/>
      </w:pPr>
      <w:r>
        <w:rPr>
          <w:rFonts w:ascii="Times New Roman" w:hAnsi="Times New Roman"/>
          <w:sz w:val="19"/>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80" w:line="252" w:lineRule="auto"/>
        <w:jc w:val="both"/>
      </w:pPr>
      <w:r>
        <w:rPr>
          <w:rFonts w:ascii="Times New Roman" w:hAnsi="Times New Roman"/>
          <w:sz w:val="19"/>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40" w:after="80"/>
        <w:jc w:val="center"/>
      </w:pPr>
      <w:r>
        <w:rPr>
          <w:rFonts w:ascii="Times New Roman" w:hAnsi="Times New Roman"/>
          <w:b/>
          <w:color w:val="000000"/>
          <w:sz w:val="20"/>
        </w:rPr>
        <w:t>PENGHARGAAN</w:t>
      </w:r>
    </w:p>
    <w:p>
      <w:pPr>
        <w:spacing w:before="0" w:after="80" w:line="252" w:lineRule="auto"/>
        <w:jc w:val="both"/>
      </w:pPr>
      <w:r>
        <w:rPr>
          <w:rFonts w:ascii="Times New Roman" w:hAnsi="Times New Roman"/>
          <w:sz w:val="19"/>
        </w:rPr>
        <w:t>Penelitian ini didukung oleh `[NAMA PEMBERI DANA]` melalui hibah nomor `[NOMOR HIBAH]`.</w:t>
      </w:r>
    </w:p>
    <w:p>
      <w:pPr>
        <w:keepNext/>
        <w:spacing w:before="240" w:after="80"/>
        <w:jc w:val="center"/>
      </w:pPr>
      <w:r>
        <w:rPr>
          <w:rFonts w:ascii="Times New Roman" w:hAnsi="Times New Roman"/>
          <w:b/>
          <w:color w:val="000000"/>
          <w:sz w:val="20"/>
        </w:rPr>
        <w:t>PERNYATAAN KEPENTINGAN BERSAING</w:t>
      </w:r>
    </w:p>
    <w:p>
      <w:pPr>
        <w:spacing w:before="0" w:after="80" w:line="252" w:lineRule="auto"/>
        <w:jc w:val="both"/>
      </w:pPr>
      <w:r>
        <w:rPr>
          <w:rFonts w:ascii="Times New Roman" w:hAnsi="Times New Roman"/>
          <w:sz w:val="19"/>
        </w:rPr>
        <w:t>Tidak ada.</w:t>
      </w:r>
    </w:p>
    <w:p>
      <w:pPr>
        <w:keepNext/>
        <w:spacing w:before="240" w:after="80"/>
        <w:jc w:val="center"/>
      </w:pPr>
      <w:r>
        <w:rPr>
          <w:rFonts w:ascii="Times New Roman" w:hAnsi="Times New Roman"/>
          <w:b/>
          <w:color w:val="000000"/>
          <w:sz w:val="20"/>
        </w:rPr>
        <w:t>REFERENSI</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Eldeeb, G. &amp; Mohamed, M. 2020. Quantifying preference heterogeneity in transit service desired quality using a latent class choice model. </w:t>
      </w:r>
      <w:r>
        <w:rPr>
          <w:rFonts w:ascii="Times New Roman" w:hAnsi="Times New Roman"/>
          <w:i/>
          <w:sz w:val="19"/>
        </w:rPr>
        <w:t>Transportation Research Part A: Policy and Practice</w:t>
      </w:r>
      <w:r>
        <w:rPr>
          <w:rFonts w:ascii="Times New Roman" w:hAnsi="Times New Roman"/>
          <w:sz w:val="19"/>
        </w:rPr>
        <w:t xml:space="preserve"> 139: 119–133. https://doi.org/10.1016/j.tra.2020.07.006</w:t>
      </w:r>
    </w:p>
    <w:p>
      <w:pPr>
        <w:spacing w:before="0" w:after="80" w:line="252" w:lineRule="auto"/>
        <w:jc w:val="both"/>
      </w:pPr>
      <w:r>
        <w:rPr>
          <w:rFonts w:ascii="Times New Roman" w:hAnsi="Times New Roman"/>
          <w:sz w:val="19"/>
        </w:rPr>
        <w:t xml:space="preserve">Lieu, S. &amp; Akar, G. 2025. Understanding rail users' mode choice behavior for first and last mile travel. </w:t>
      </w:r>
      <w:r>
        <w:rPr>
          <w:rFonts w:ascii="Times New Roman" w:hAnsi="Times New Roman"/>
          <w:i/>
          <w:sz w:val="19"/>
        </w:rPr>
        <w:t>Journal of Transport Geography</w:t>
      </w:r>
      <w:r>
        <w:rPr>
          <w:rFonts w:ascii="Times New Roman" w:hAnsi="Times New Roman"/>
          <w:sz w:val="19"/>
        </w:rPr>
        <w:t xml:space="preserve"> 125: 104214. https://doi.org/10.1016/j.jtrangeo.2025.104214</w:t>
      </w:r>
    </w:p>
    <w:p>
      <w:pPr>
        <w:spacing w:before="0" w:after="80" w:line="252" w:lineRule="auto"/>
        <w:jc w:val="both"/>
      </w:pPr>
      <w:r>
        <w:rPr>
          <w:rFonts w:ascii="Times New Roman" w:hAnsi="Times New Roman"/>
          <w:sz w:val="19"/>
        </w:rPr>
        <w:t xml:space="preserve">Lu, Y., Prato, C.G. &amp; Sipe, N. 2023. Understanding the role of household modality style on first and last mile travel mode choice and public transit station choice. </w:t>
      </w:r>
      <w:r>
        <w:rPr>
          <w:rFonts w:ascii="Times New Roman" w:hAnsi="Times New Roman"/>
          <w:i/>
          <w:sz w:val="19"/>
        </w:rPr>
        <w:t>Travel Behaviour and Society</w:t>
      </w:r>
      <w:r>
        <w:rPr>
          <w:rFonts w:ascii="Times New Roman" w:hAnsi="Times New Roman"/>
          <w:sz w:val="19"/>
        </w:rPr>
        <w:t xml:space="preserve"> 32: 100580. https://doi.org/10.1016/j.tbs.2023.100580</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Ramos-Santiago, L. 2022. Does walkability around feeder bus-stops influence rapid-transit station boardings? </w:t>
      </w:r>
      <w:r>
        <w:rPr>
          <w:rFonts w:ascii="Times New Roman" w:hAnsi="Times New Roman"/>
          <w:i/>
          <w:sz w:val="19"/>
        </w:rPr>
        <w:t>Journal of Public Transportation</w:t>
      </w:r>
      <w:r>
        <w:rPr>
          <w:rFonts w:ascii="Times New Roman" w:hAnsi="Times New Roman"/>
          <w:sz w:val="19"/>
        </w:rPr>
        <w:t xml:space="preserve"> 24: 100026. https://doi.org/10.1016/j.jpubtr.2022.100026</w:t>
      </w:r>
    </w:p>
    <w:p>
      <w:pPr>
        <w:spacing w:before="0" w:after="80" w:line="252" w:lineRule="auto"/>
        <w:jc w:val="both"/>
      </w:pPr>
      <w:r>
        <w:rPr>
          <w:rFonts w:ascii="Times New Roman" w:hAnsi="Times New Roman"/>
          <w:sz w:val="19"/>
        </w:rPr>
        <w:t xml:space="preserve">Ranjan, R. &amp; Sinha, S. 2024. Mode choice analysis for work trips of urban residents using multinomial logit model. </w:t>
      </w:r>
      <w:r>
        <w:rPr>
          <w:rFonts w:ascii="Times New Roman" w:hAnsi="Times New Roman"/>
          <w:i/>
          <w:sz w:val="19"/>
        </w:rPr>
        <w:t>Innovative Infrastructure Solutions</w:t>
      </w:r>
      <w:r>
        <w:rPr>
          <w:rFonts w:ascii="Times New Roman" w:hAnsi="Times New Roman"/>
          <w:sz w:val="19"/>
        </w:rPr>
        <w:t xml:space="preserve"> 9(5): 181. https://doi.org/10.1007/s41062-024-01681-5</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Zhao, X., Yan, X., Yu, A. &amp; Van Hentenryck, P. 2020. Prediction and behavioral analysis of travel mode choice: A comparison of machine learning and logit models. </w:t>
      </w:r>
      <w:r>
        <w:rPr>
          <w:rFonts w:ascii="Times New Roman" w:hAnsi="Times New Roman"/>
          <w:i/>
          <w:sz w:val="19"/>
        </w:rPr>
        <w:t>Travel Behaviour and Society</w:t>
      </w:r>
      <w:r>
        <w:rPr>
          <w:rFonts w:ascii="Times New Roman" w:hAnsi="Times New Roman"/>
          <w:sz w:val="19"/>
        </w:rPr>
        <w:t xml:space="preserve"> 20: 22–35. https://doi.org/10.1016/j.tbs.2020.02.003</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