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color w:val="6E6E6E"/>
          <w:sz w:val="17"/>
        </w:rPr>
        <w:t>Jurnal Kejuruteraan (Journal of Engineering) Online First | ISSN: 0128-0198 E-ISSN: 2289-7526</w:t>
      </w:r>
    </w:p>
    <w:p>
      <w:pPr>
        <w:spacing w:before="280" w:after="240"/>
        <w:jc w:val="center"/>
      </w:pPr>
      <w:r>
        <w:rPr>
          <w:rFonts w:ascii="Times New Roman" w:hAnsi="Times New Roman"/>
          <w:b/>
          <w:color w:val="000000"/>
          <w:sz w:val="28"/>
        </w:rPr>
        <w:t>Mode Choice Modelling in Palembang’s Integrated Public Transport Network Using Multinomial Logit</w:t>
      </w:r>
    </w:p>
    <w:p>
      <w:pPr>
        <w:spacing w:before="200" w:after="120"/>
        <w:jc w:val="center"/>
      </w:pPr>
      <w:r>
        <w:rPr>
          <w:rFonts w:ascii="Times New Roman" w:hAnsi="Times New Roman"/>
          <w:b/>
          <w:color w:val="000000"/>
          <w:sz w:val="21"/>
        </w:rPr>
        <w:t>ABSTRACT</w:t>
      </w:r>
    </w:p>
    <w:p>
      <w:pPr>
        <w:spacing w:before="0" w:after="80" w:line="252" w:lineRule="auto"/>
        <w:jc w:val="both"/>
      </w:pPr>
      <w:r>
        <w:rPr>
          <w:rFonts w:ascii="Times New Roman" w:hAnsi="Times New Roman"/>
          <w:sz w:val="20"/>
        </w:rPr>
        <w:t>Service integration does not automatically increase public transport use unless the attributes considered by travellers are understood. This study analyses mode choice within Palembang’s integrated LRT Sumsel, Teman Bus, and Angkot Feeder network using a multinomial logit model. The survey was conducted from 1 August to 16 September 2026 among 400 respondents who lived and routinely travelled in Palembang and knew the available transport options. Each respondent specified an origin and destination for a routine trip; the application then generated public transport, private-vehicle, and paid non-public transport alternatives characterised by travel time, cost, transfers, access distance, comfort, and reliability. Following data auditing, consolidation of identical alternatives, and exclusion of singleton choice sets and extreme values, 318 observations were retained. Adding a private-vehicle alternative-specific constant improved fit over the basic model (McFadden ρ²=0.0514; AIC=518.10). Reliability had a positive significant effect (β=0.353; p&lt;0.05), while the private-vehicle constant was also positive and significant (β=0.610; p&lt;0.05), indicating a baseline inclination towards private vehicles beyond measured attributes. Access distance was positive and significant but contrary to theory and was therefore not interpreted causally. Time, cost, and transfers were insignificant; removing transfers did not significantly reduce model fit (p=0.3790). The findings emphasise service reliability and unobserved preferences, while showing that system-derived attributes and intended choices require validation against operational data and realised travel before the model informs policy recommendations or application personalisation.</w:t>
      </w:r>
    </w:p>
    <w:p>
      <w:pPr>
        <w:spacing w:before="80" w:after="280"/>
      </w:pPr>
      <w:r>
        <w:rPr>
          <w:rFonts w:ascii="Times New Roman" w:hAnsi="Times New Roman"/>
          <w:sz w:val="19"/>
        </w:rPr>
      </w:r>
      <w:r>
        <w:rPr>
          <w:rFonts w:ascii="Times New Roman" w:hAnsi="Times New Roman"/>
          <w:b/>
          <w:sz w:val="19"/>
        </w:rPr>
        <w:t>Keywords:</w:t>
      </w:r>
      <w:r>
        <w:rPr>
          <w:rFonts w:ascii="Times New Roman" w:hAnsi="Times New Roman"/>
          <w:sz w:val="19"/>
        </w:rPr>
        <w:t xml:space="preserve"> mode choice; multinomial logit; integrated public transport; reliability; Palembang</w:t>
      </w:r>
    </w:p>
    <w:p>
      <w:pPr>
        <w:sectPr>
          <w:pgSz w:w="11909" w:h="16834"/>
          <w:pgMar w:top="1440" w:right="1440" w:bottom="1440" w:left="1440" w:header="720" w:footer="720" w:gutter="0"/>
          <w:docGrid w:linePitch="360"/>
          <w:cols w:num="1" w:space="708"/>
        </w:sectPr>
      </w:pPr>
    </w:p>
    <w:p>
      <w:pPr>
        <w:keepNext/>
        <w:spacing w:before="240" w:after="80"/>
        <w:jc w:val="center"/>
      </w:pPr>
      <w:r>
        <w:rPr>
          <w:rFonts w:ascii="Times New Roman" w:hAnsi="Times New Roman"/>
          <w:b/>
          <w:color w:val="000000"/>
          <w:sz w:val="20"/>
        </w:rPr>
        <w:t>INTRODUCTION</w:t>
      </w:r>
    </w:p>
    <w:p>
      <w:pPr>
        <w:spacing w:before="0" w:after="80" w:line="252" w:lineRule="auto"/>
        <w:jc w:val="both"/>
      </w:pPr>
      <w:r>
        <w:rPr>
          <w:rFonts w:ascii="Times New Roman" w:hAnsi="Times New Roman"/>
          <w:sz w:val="19"/>
        </w:rPr>
        <w:t>Urban public transport must provide connectivity and service quality capable of competing with private vehicles. In Palembang, LRT Sumsel, Teman Bus, and Angkot Feeder form a network that enables intermodal trips. Network availability alone, however, does not explain how users value time, cost, transfers, access, comfort, and reliability when choosing a mode. Behavioural analysis is required so that service integration extends beyond infrastructure provision.</w:t>
      </w:r>
    </w:p>
    <w:p>
      <w:pPr>
        <w:spacing w:before="0" w:after="80" w:line="252" w:lineRule="auto"/>
        <w:jc w:val="both"/>
      </w:pPr>
      <w:r>
        <w:rPr>
          <w:rFonts w:ascii="Times New Roman" w:hAnsi="Times New Roman"/>
          <w:sz w:val="19"/>
        </w:rPr>
        <w:t>Random utility theory represents choice as a comparison of alternative utilities (McFadden 1974; Ben-Akiva &amp; Lerman 1985). Multinomial Logit (MNL) is widely used because choice probabilities can be linked directly to alternative attributes and estimated by maximum likelihood (Train 2009). Travel time and cost are normally expected to reduce utility, whereas comfort and reliability should increase it. Access and transfers are also important because out-of-vehicle time is often valued differently from in-vehicle time (Wardman 2004), and travel-time uncertainty carries its own disutility (Bates et al. 2001).</w:t>
      </w:r>
    </w:p>
    <w:p>
      <w:pPr>
        <w:spacing w:before="0" w:after="80" w:line="252" w:lineRule="auto"/>
        <w:jc w:val="both"/>
      </w:pPr>
      <w:r>
        <w:rPr>
          <w:rFonts w:ascii="Times New Roman" w:hAnsi="Times New Roman"/>
          <w:sz w:val="19"/>
        </w:rPr>
        <w:t>A basic model remains limited. Responsiveness to service attributes may vary across individuals (Bhat 1998), while alternative-specific constants can capture baseline preferences omitted from measured attributes (Ben-Akiva &amp; Lerman 1985). Moreover, a choice stated before travelling is not equivalent to observed realised behaviour; choice context and scenario realism must therefore be reported transparently (Louviere et al. 2000).</w:t>
      </w:r>
    </w:p>
    <w:p>
      <w:pPr>
        <w:spacing w:before="0" w:after="80" w:line="252" w:lineRule="auto"/>
        <w:jc w:val="both"/>
      </w:pPr>
      <w:r>
        <w:rPr>
          <w:rFonts w:ascii="Times New Roman" w:hAnsi="Times New Roman"/>
          <w:sz w:val="19"/>
        </w:rPr>
        <w:t>This study uses a route-search application as an instrument to generate choice sets for respondent-defined routine origin–destination pairs. Dijkstra’s algorithm (Dijkstra 1959) only generates alternatives; the main contribution is the estimation of mode-choice determinants. The objectives are to: (1) describe choices across mode groups; (2) estimate a basic MNL and an MNL with a private-vehicle alternative-specific constant (ASC); and (3) examine robustness through reduced specifications and sample sensitivity.</w:t>
      </w:r>
    </w:p>
    <w:p>
      <w:pPr>
        <w:keepNext/>
        <w:spacing w:before="240" w:after="80"/>
        <w:jc w:val="center"/>
      </w:pPr>
      <w:r>
        <w:rPr>
          <w:rFonts w:ascii="Times New Roman" w:hAnsi="Times New Roman"/>
          <w:b/>
          <w:color w:val="000000"/>
          <w:sz w:val="20"/>
        </w:rPr>
        <w:t>METHODOLOGY</w:t>
      </w:r>
    </w:p>
    <w:p>
      <w:pPr>
        <w:keepNext/>
        <w:spacing w:before="160" w:after="40"/>
        <w:jc w:val="left"/>
      </w:pPr>
      <w:r>
        <w:rPr>
          <w:rFonts w:ascii="Times New Roman" w:hAnsi="Times New Roman"/>
          <w:b/>
          <w:color w:val="000000"/>
          <w:sz w:val="19"/>
        </w:rPr>
        <w:t>Study Context and Transport Network</w:t>
      </w:r>
    </w:p>
    <w:p>
      <w:pPr>
        <w:spacing w:before="0" w:after="80" w:line="252" w:lineRule="auto"/>
        <w:jc w:val="both"/>
      </w:pPr>
      <w:r>
        <w:rPr>
          <w:rFonts w:ascii="Times New Roman" w:hAnsi="Times New Roman"/>
          <w:sz w:val="19"/>
        </w:rPr>
        <w:t>The study concerns routine trips in Palembang. The application network includes eight Angkot Feeder corridors, two Teman Bus corridors, and LRT Sumsel. Alternatives are grouped as public transport, private vehicles, and paid non-public transport. The last category includes demand-responsive or hired services outside the public transport network and is not treated as private-vehicle ownership.</w:t>
      </w:r>
    </w:p>
    <w:p>
      <w:pPr>
        <w:keepNext/>
        <w:spacing w:before="160" w:after="40"/>
        <w:jc w:val="left"/>
      </w:pPr>
      <w:r>
        <w:rPr>
          <w:rFonts w:ascii="Times New Roman" w:hAnsi="Times New Roman"/>
          <w:b/>
          <w:color w:val="000000"/>
          <w:sz w:val="19"/>
        </w:rPr>
        <w:t>Application-Generated Choice Sets</w:t>
      </w:r>
    </w:p>
    <w:p>
      <w:pPr>
        <w:spacing w:before="0" w:after="80" w:line="252" w:lineRule="auto"/>
        <w:jc w:val="both"/>
      </w:pPr>
      <w:r>
        <w:rPr>
          <w:rFonts w:ascii="Times New Roman" w:hAnsi="Times New Roman"/>
          <w:sz w:val="19"/>
        </w:rPr>
        <w:t>Respondents specified origins and destinations representing their routine activities. Departure time was automatically set to the survey or interview time. The application connected these points to the network, ran Dijkstra routing, calculated access and transfer legs, and displayed several alternatives with the same six attributes. Respondents selected one preferred alternative before travelling; subsequent trip realisation was not verified.</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5084556"/>
            <wp:docPr id="1" name="Picture 1"/>
            <wp:cNvGraphicFramePr>
              <a:graphicFrameLocks noChangeAspect="1"/>
            </wp:cNvGraphicFramePr>
            <a:graphic>
              <a:graphicData uri="http://schemas.openxmlformats.org/drawingml/2006/picture">
                <pic:pic>
                  <pic:nvPicPr>
                    <pic:cNvPr id="0" name="figure_01_research_flow.png"/>
                    <pic:cNvPicPr/>
                  </pic:nvPicPr>
                  <pic:blipFill>
                    <a:blip r:embed="rId9"/>
                    <a:stretch>
                      <a:fillRect/>
                    </a:stretch>
                  </pic:blipFill>
                  <pic:spPr>
                    <a:xfrm>
                      <a:off x="0" y="0"/>
                      <a:ext cx="5486400" cy="5084556"/>
                    </a:xfrm>
                    <a:prstGeom prst="rect"/>
                  </pic:spPr>
                </pic:pic>
              </a:graphicData>
            </a:graphic>
          </wp:inline>
        </w:drawing>
      </w:r>
    </w:p>
    <w:p>
      <w:pPr>
        <w:spacing w:before="40" w:after="160"/>
        <w:jc w:val="center"/>
      </w:pPr>
      <w:r>
        <w:rPr>
          <w:rFonts w:ascii="Times New Roman" w:hAnsi="Times New Roman"/>
          <w:b/>
          <w:color w:val="000000"/>
          <w:sz w:val="18"/>
        </w:rPr>
        <w:t>FIGURE 1. Route-alternative generation, choice collection, data audit, and MNL estimation</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Survey Design and Data Collection</w:t>
      </w:r>
    </w:p>
    <w:p>
      <w:pPr>
        <w:spacing w:before="0" w:after="80" w:line="252" w:lineRule="auto"/>
        <w:jc w:val="both"/>
      </w:pPr>
      <w:r>
        <w:rPr>
          <w:rFonts w:ascii="Times New Roman" w:hAnsi="Times New Roman"/>
          <w:sz w:val="19"/>
        </w:rPr>
        <w:t>The survey was conducted from 1 August to 16 September 2026 using non-probability convenience sampling. Inclusion required living and routinely engaging in activities in Palembang and knowing the available local transport choices. The instrument was administered through direct interviews with the general public, student networks, and social media. During interviews, enumerators neutrally read and explained the same questions and alternative order displayed by the application without recommending an option. Participation was voluntary, consent was obtained before completion, and data were recorded anonymously.</w:t>
      </w:r>
    </w:p>
    <w:p>
      <w:pPr>
        <w:keepNext/>
        <w:spacing w:before="160" w:after="40"/>
        <w:jc w:val="left"/>
      </w:pPr>
      <w:r>
        <w:rPr>
          <w:rFonts w:ascii="Times New Roman" w:hAnsi="Times New Roman"/>
          <w:b/>
          <w:color w:val="000000"/>
          <w:sz w:val="19"/>
        </w:rPr>
        <w:t>Variables</w:t>
      </w:r>
    </w:p>
    <w:p>
      <w:pPr>
        <w:spacing w:before="40" w:after="160"/>
        <w:jc w:val="center"/>
      </w:pPr>
      <w:r>
        <w:rPr>
          <w:rFonts w:ascii="Times New Roman" w:hAnsi="Times New Roman"/>
          <w:b/>
          <w:color w:val="000000"/>
          <w:sz w:val="18"/>
        </w:rPr>
        <w:t>TABLE 1. Model-variable definitions</w:t>
      </w:r>
    </w:p>
    <w:tbl>
      <w:tblPr>
        <w:tblW w:type="auto" w:w="0"/>
        <w:jc w:val="center"/>
        <w:tblLook w:firstColumn="1" w:firstRow="1" w:lastColumn="0" w:lastRow="0" w:noHBand="0" w:noVBand="1" w:val="04A0"/>
      </w:tblPr>
      <w:tblGrid>
        <w:gridCol w:w="3010"/>
        <w:gridCol w:w="3010"/>
        <w:gridCol w:w="3010"/>
      </w:tblGrid>
      <w:tr>
        <w:trPr>
          <w:trHeight w:val="320"/>
        </w:trPr>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Variable</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Definition and unit</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Expected sign</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Time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Total travel time, minutes</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Cost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Total travel cost, Indonesian rupiah</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Transfers</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Number of vehicle changes</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Access distance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First/last-mile distance, km</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Comfort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System score, 0–5</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Reliability</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System score, 0–5</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w:t>
            </w:r>
          </w:p>
        </w:tc>
      </w:tr>
      <w:tr>
        <w:trPr>
          <w:trHeight w:val="280"/>
        </w:trPr>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Private-vehicle ASC</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Private-vehicle indicator</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Unrestricted</w:t>
            </w:r>
          </w:p>
        </w:tc>
      </w:tr>
    </w:tbl>
    <w:p>
      <w:pPr>
        <w:spacing w:before="0" w:after="80"/>
      </w:pPr>
    </w:p>
    <w:p>
      <w:pPr>
        <w:spacing w:before="0" w:after="80" w:line="252" w:lineRule="auto"/>
        <w:jc w:val="both"/>
      </w:pPr>
      <w:r>
        <w:rPr>
          <w:rFonts w:ascii="Times New Roman" w:hAnsi="Times New Roman"/>
          <w:sz w:val="19"/>
        </w:rPr>
        <w:t>Comfort and reliability are system parameters assigned by mode rather than objective field measurements. They are therefore treated as proxies and discussed as a limitation.</w:t>
      </w:r>
    </w:p>
    <w:p>
      <w:pPr>
        <w:spacing w:before="40" w:after="160"/>
        <w:jc w:val="center"/>
      </w:pPr>
      <w:r>
        <w:rPr>
          <w:rFonts w:ascii="Times New Roman" w:hAnsi="Times New Roman"/>
          <w:b/>
          <w:color w:val="000000"/>
          <w:sz w:val="18"/>
        </w:rPr>
        <w:t>TABLE 2. Characteristics of the 318 respondents in the analytical sample</w:t>
      </w:r>
    </w:p>
    <w:tbl>
      <w:tblPr>
        <w:tblW w:type="auto" w:w="0"/>
        <w:jc w:val="center"/>
        <w:tblLook w:firstColumn="1" w:firstRow="1" w:lastColumn="0" w:lastRow="0" w:noHBand="0" w:noVBand="1" w:val="04A0"/>
      </w:tblPr>
      <w:tblGrid>
        <w:gridCol w:w="3010"/>
        <w:gridCol w:w="3010"/>
        <w:gridCol w:w="3010"/>
      </w:tblGrid>
      <w:tr>
        <w:trPr>
          <w:trHeight w:val="320"/>
        </w:trPr>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Characteristic</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Dominant category</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n (%)</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Gender</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Female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157 (49.4)</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Occupation</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Student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204 (64.2)</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Monthly income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&lt;IDR1 million</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142 (44.7)</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Vehicle ownership</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Motorcycle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164 (51.6)</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Trip purpose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School/university</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164 (51.6)</w:t>
            </w:r>
          </w:p>
        </w:tc>
      </w:tr>
      <w:tr>
        <w:trPr>
          <w:trHeight w:val="280"/>
        </w:trPr>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Public transport frequency</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Several times a week</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116 (36.5)</w:t>
            </w:r>
          </w:p>
        </w:tc>
      </w:tr>
    </w:tbl>
    <w:p>
      <w:pPr>
        <w:spacing w:before="0" w:after="80"/>
      </w:pPr>
    </w:p>
    <w:p>
      <w:pPr>
        <w:spacing w:before="0" w:after="80" w:line="252" w:lineRule="auto"/>
        <w:jc w:val="both"/>
      </w:pPr>
      <w:r>
        <w:rPr>
          <w:rFonts w:ascii="Times New Roman" w:hAnsi="Times New Roman"/>
          <w:sz w:val="19"/>
        </w:rPr>
        <w:t>Eight observations lacked complete profiles; percentages use the entire analytical sample as denominator.</w:t>
      </w:r>
    </w:p>
    <w:p>
      <w:pPr>
        <w:keepNext/>
        <w:spacing w:before="160" w:after="40"/>
        <w:jc w:val="left"/>
      </w:pPr>
      <w:r>
        <w:rPr>
          <w:rFonts w:ascii="Times New Roman" w:hAnsi="Times New Roman"/>
          <w:b/>
          <w:color w:val="000000"/>
          <w:sz w:val="19"/>
        </w:rPr>
        <w:t>Data Audit and Cleaning</w:t>
      </w:r>
    </w:p>
    <w:p>
      <w:pPr>
        <w:spacing w:before="0" w:after="80" w:line="252" w:lineRule="auto"/>
        <w:jc w:val="both"/>
      </w:pPr>
      <w:r>
        <w:rPr>
          <w:rFonts w:ascii="Times New Roman" w:hAnsi="Times New Roman"/>
          <w:sz w:val="19"/>
        </w:rPr>
        <w:t>The source CSV contained 400 observations from 400 unique respondents. Alternatives with identical values across all six attributes within a choice set were consolidated because they represented the same trip despite different interface labels. Choice sets with fewer than two unique alternatives were excluded. Observations were also excluded when travel time exceeded 1,000 minutes or cost exceeded IDR100,000; these conservative thresholds clearly separated an anomalous cluster from the remaining distribution. Each final observation required exactly one chosen alternative.</w:t>
      </w:r>
    </w:p>
    <w:p>
      <w:pPr>
        <w:spacing w:before="40" w:after="160"/>
        <w:jc w:val="center"/>
      </w:pPr>
      <w:r>
        <w:rPr>
          <w:rFonts w:ascii="Times New Roman" w:hAnsi="Times New Roman"/>
          <w:b/>
          <w:color w:val="000000"/>
          <w:sz w:val="18"/>
        </w:rPr>
        <w:t>TABLE 3. Construction of the analytical sample</w:t>
      </w:r>
    </w:p>
    <w:tbl>
      <w:tblPr>
        <w:tblW w:type="auto" w:w="0"/>
        <w:jc w:val="center"/>
        <w:tblLook w:firstColumn="1" w:firstRow="1" w:lastColumn="0" w:lastRow="0" w:noHBand="0" w:noVBand="1" w:val="04A0"/>
      </w:tblPr>
      <w:tblGrid>
        <w:gridCol w:w="4514"/>
        <w:gridCol w:w="4514"/>
      </w:tblGrid>
      <w:tr>
        <w:trPr>
          <w:trHeight w:val="320"/>
        </w:trPr>
        <w:tc>
          <w:tcPr>
            <w:tcW w:type="dxa" w:w="4514"/>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Stage</w:t>
            </w:r>
          </w:p>
        </w:tc>
        <w:tc>
          <w:tcPr>
            <w:tcW w:type="dxa" w:w="4514"/>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Observations</w:t>
            </w:r>
          </w:p>
        </w:tc>
      </w:tr>
      <w:tr>
        <w:trPr>
          <w:trHeight w:val="280"/>
        </w:trPr>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Source data</w:t>
            </w:r>
          </w:p>
        </w:tc>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400</w:t>
            </w:r>
          </w:p>
        </w:tc>
      </w:tr>
      <w:tr>
        <w:trPr>
          <w:trHeight w:val="280"/>
        </w:trPr>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Excluded: extreme values</w:t>
            </w:r>
          </w:p>
        </w:tc>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22</w:t>
            </w:r>
          </w:p>
        </w:tc>
      </w:tr>
      <w:tr>
        <w:trPr>
          <w:trHeight w:val="280"/>
        </w:trPr>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Excluded: &lt;2 unique alternatives</w:t>
            </w:r>
          </w:p>
        </w:tc>
        <w:tc>
          <w:tcPr>
            <w:tcW w:type="dxa" w:w="451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60</w:t>
            </w:r>
          </w:p>
        </w:tc>
      </w:tr>
      <w:tr>
        <w:trPr>
          <w:trHeight w:val="280"/>
        </w:trPr>
        <w:tc>
          <w:tcPr>
            <w:tcW w:type="dxa" w:w="4514"/>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Final analytical sample</w:t>
            </w:r>
          </w:p>
        </w:tc>
        <w:tc>
          <w:tcPr>
            <w:tcW w:type="dxa" w:w="4514"/>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7"/>
              </w:rPr>
              <w:t>318</w:t>
            </w:r>
          </w:p>
        </w:tc>
      </w:tr>
    </w:tbl>
    <w:p>
      <w:pPr>
        <w:spacing w:before="0" w:after="80"/>
      </w:pPr>
    </w:p>
    <w:p>
      <w:pPr>
        <w:spacing w:before="0" w:after="80" w:line="252" w:lineRule="auto"/>
        <w:jc w:val="both"/>
      </w:pPr>
      <w:r>
        <w:rPr>
          <w:rFonts w:ascii="Times New Roman" w:hAnsi="Times New Roman"/>
          <w:sz w:val="19"/>
        </w:rPr>
        <w:t>A total of 136 duplicate alternative rows were consolidated, leaving 748 final alternative rows. The source SHA-256 checksum is `93fcf7d061e8e294f2ebefd8dc8a52b7b5632484085b960e30820fc615219c2a`.</w:t>
      </w:r>
    </w:p>
    <w:p>
      <w:pPr>
        <w:keepNext/>
        <w:spacing w:before="160" w:after="40"/>
        <w:jc w:val="left"/>
      </w:pPr>
      <w:r>
        <w:rPr>
          <w:rFonts w:ascii="Times New Roman" w:hAnsi="Times New Roman"/>
          <w:b/>
          <w:color w:val="000000"/>
          <w:sz w:val="19"/>
        </w:rPr>
        <w:t>MNL Specification</w:t>
      </w:r>
    </w:p>
    <w:p>
      <w:pPr>
        <w:spacing w:before="0" w:after="80" w:line="252" w:lineRule="auto"/>
        <w:jc w:val="both"/>
      </w:pPr>
      <w:r>
        <w:rPr>
          <w:rFonts w:ascii="Times New Roman" w:hAnsi="Times New Roman"/>
          <w:sz w:val="19"/>
        </w:rPr>
        <w:t xml:space="preserve">The utility of alternative </w:t>
      </w:r>
      <w:r>
        <w:rPr>
          <w:rFonts w:ascii="Times New Roman" w:hAnsi="Times New Roman"/>
          <w:i/>
          <w:sz w:val="19"/>
        </w:rPr>
        <w:t>j</w:t>
      </w:r>
      <w:r>
        <w:rPr>
          <w:rFonts w:ascii="Times New Roman" w:hAnsi="Times New Roman"/>
          <w:sz w:val="19"/>
        </w:rPr>
        <w:t xml:space="preserve"> for respondent </w:t>
      </w:r>
      <w:r>
        <w:rPr>
          <w:rFonts w:ascii="Times New Roman" w:hAnsi="Times New Roman"/>
          <w:i/>
          <w:sz w:val="19"/>
        </w:rPr>
        <w:t>i</w:t>
      </w:r>
      <w:r>
        <w:rPr>
          <w:rFonts w:ascii="Times New Roman" w:hAnsi="Times New Roman"/>
          <w:sz w:val="19"/>
        </w:rPr>
        <w:t xml:space="preserve"> is:</w:t>
      </w:r>
    </w:p>
    <w:p>
      <w:pPr>
        <w:spacing w:before="80" w:after="80"/>
        <w:jc w:val="center"/>
      </w:pPr>
      <w:r>
        <w:rPr>
          <w:rFonts w:ascii="Times New Roman" w:hAnsi="Times New Roman"/>
          <w:i/>
          <w:sz w:val="18"/>
        </w:rPr>
        <w:t>U_{ij}=\beta_{time}Time_{ij}+\beta_{cost}Cost_{ij}+\beta_{transfer}Transfer_{ij}+\beta_{access}Access_{ij}+\beta_{comfort}Comfort_{ij}+\beta_{reliability}Reliability_{ij}.</w:t>
      </w:r>
    </w:p>
    <w:p>
      <w:pPr>
        <w:spacing w:before="0" w:after="80" w:line="252" w:lineRule="auto"/>
        <w:jc w:val="both"/>
      </w:pPr>
      <w:r>
        <w:rPr>
          <w:rFonts w:ascii="Times New Roman" w:hAnsi="Times New Roman"/>
          <w:sz w:val="19"/>
        </w:rPr>
        <w:t>The MNL probability is:</w:t>
      </w:r>
    </w:p>
    <w:p>
      <w:pPr>
        <w:spacing w:before="80" w:after="80"/>
        <w:jc w:val="center"/>
      </w:pPr>
      <w:r>
        <w:rPr>
          <w:rFonts w:ascii="Times New Roman" w:hAnsi="Times New Roman"/>
          <w:i/>
          <w:sz w:val="18"/>
        </w:rPr>
        <w:t>P_{ij}=\frac{\exp(U_{ij})}{\sum_m\exp(U_{im})}.</w:t>
      </w:r>
    </w:p>
    <w:p>
      <w:pPr>
        <w:spacing w:before="0" w:after="80" w:line="252" w:lineRule="auto"/>
        <w:jc w:val="both"/>
      </w:pPr>
      <w:r>
        <w:rPr>
          <w:rFonts w:ascii="Times New Roman" w:hAnsi="Times New Roman"/>
          <w:sz w:val="19"/>
        </w:rPr>
        <w:t>The main model adds \(\alpha_{private}I(private)_{ij}\), with public transport as the reference. Parameters were estimated using Newton–Raphson. Ordinary standard errors are the primary inference because each final UUID contributes one observation. Fit is assessed through log-likelihood, McFadden ρ², AIC, and BIC.</w:t>
      </w:r>
    </w:p>
    <w:p>
      <w:pPr>
        <w:keepNext/>
        <w:spacing w:before="160" w:after="40"/>
        <w:jc w:val="left"/>
      </w:pPr>
      <w:r>
        <w:rPr>
          <w:rFonts w:ascii="Times New Roman" w:hAnsi="Times New Roman"/>
          <w:b/>
          <w:color w:val="000000"/>
          <w:sz w:val="19"/>
        </w:rPr>
        <w:t>Sensitivity Analysis</w:t>
      </w:r>
    </w:p>
    <w:p>
      <w:pPr>
        <w:spacing w:before="0" w:after="80" w:line="252" w:lineRule="auto"/>
        <w:jc w:val="both"/>
      </w:pPr>
      <w:r>
        <w:rPr>
          <w:rFonts w:ascii="Times New Roman" w:hAnsi="Times New Roman"/>
          <w:sz w:val="19"/>
        </w:rPr>
        <w:t>The main model is compared with specifications excluding access distance, transfers, both variables, and paid non-public transport. Likelihood-ratio tests are used only for nested models estimated on the same sample. The sample-sensitivity model is not directly compared using AIC/BIC with full-sample models.</w:t>
      </w:r>
    </w:p>
    <w:p>
      <w:pPr>
        <w:keepNext/>
        <w:spacing w:before="240" w:after="80"/>
        <w:jc w:val="center"/>
      </w:pPr>
      <w:r>
        <w:rPr>
          <w:rFonts w:ascii="Times New Roman" w:hAnsi="Times New Roman"/>
          <w:b/>
          <w:color w:val="000000"/>
          <w:sz w:val="20"/>
        </w:rPr>
        <w:t>RESULTS AND DISCUSSION</w:t>
      </w:r>
    </w:p>
    <w:p>
      <w:pPr>
        <w:keepNext/>
        <w:spacing w:before="160" w:after="40"/>
        <w:jc w:val="left"/>
      </w:pPr>
      <w:r>
        <w:rPr>
          <w:rFonts w:ascii="Times New Roman" w:hAnsi="Times New Roman"/>
          <w:b/>
          <w:color w:val="000000"/>
          <w:sz w:val="19"/>
        </w:rPr>
        <w:t>Analytical Sample and Choice Patterns</w:t>
      </w:r>
    </w:p>
    <w:p>
      <w:pPr>
        <w:spacing w:before="0" w:after="80" w:line="252" w:lineRule="auto"/>
        <w:jc w:val="both"/>
      </w:pPr>
      <w:r>
        <w:rPr>
          <w:rFonts w:ascii="Times New Roman" w:hAnsi="Times New Roman"/>
          <w:sz w:val="19"/>
        </w:rPr>
        <w:t>Among 318 final choices, 176 (55.3%) selected public transport, 136 (42.8%) selected a private vehicle, and 6 (1.9%) selected paid non-public transport. Public transport held a narrow majority, while private vehicles remained competitive even when choices were presented within an integrated public transport context.</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116341"/>
            <wp:docPr id="2" name="Picture 2"/>
            <wp:cNvGraphicFramePr>
              <a:graphicFrameLocks noChangeAspect="1"/>
            </wp:cNvGraphicFramePr>
            <a:graphic>
              <a:graphicData uri="http://schemas.openxmlformats.org/drawingml/2006/picture">
                <pic:pic>
                  <pic:nvPicPr>
                    <pic:cNvPr id="0" name="figure_02_choice_distribution.png"/>
                    <pic:cNvPicPr/>
                  </pic:nvPicPr>
                  <pic:blipFill>
                    <a:blip r:embed="rId10"/>
                    <a:stretch>
                      <a:fillRect/>
                    </a:stretch>
                  </pic:blipFill>
                  <pic:spPr>
                    <a:xfrm>
                      <a:off x="0" y="0"/>
                      <a:ext cx="5486400" cy="3116341"/>
                    </a:xfrm>
                    <a:prstGeom prst="rect"/>
                  </pic:spPr>
                </pic:pic>
              </a:graphicData>
            </a:graphic>
          </wp:inline>
        </w:drawing>
      </w:r>
    </w:p>
    <w:p>
      <w:pPr>
        <w:spacing w:before="40" w:after="160"/>
        <w:jc w:val="center"/>
      </w:pPr>
      <w:r>
        <w:rPr>
          <w:rFonts w:ascii="Times New Roman" w:hAnsi="Times New Roman"/>
          <w:b/>
          <w:color w:val="000000"/>
          <w:sz w:val="18"/>
        </w:rPr>
        <w:t>FIGURE 2. Choice distribution by mode group</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Attribute Variation and Correlation</w:t>
      </w:r>
    </w:p>
    <w:p>
      <w:pPr>
        <w:spacing w:before="0" w:after="80" w:line="252" w:lineRule="auto"/>
        <w:jc w:val="both"/>
      </w:pPr>
      <w:r>
        <w:rPr>
          <w:rFonts w:ascii="Times New Roman" w:hAnsi="Times New Roman"/>
          <w:sz w:val="19"/>
        </w:rPr>
        <w:t>Time and reliability varied in every choice set; cost and comfort varied in 98.1%, access distance in 95.6%, but transfers in only 41.2%. Limited transfer variation reduces information available for identifying its parameter. Correlations of 0.606 between time and transfers and −0.521 between transfers and comfort also suggest that parts of their effects are difficult to separate.</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936430"/>
            <wp:docPr id="3" name="Picture 3"/>
            <wp:cNvGraphicFramePr>
              <a:graphicFrameLocks noChangeAspect="1"/>
            </wp:cNvGraphicFramePr>
            <a:graphic>
              <a:graphicData uri="http://schemas.openxmlformats.org/drawingml/2006/picture">
                <pic:pic>
                  <pic:nvPicPr>
                    <pic:cNvPr id="0" name="figure_03_attribute_diagnostics.png"/>
                    <pic:cNvPicPr/>
                  </pic:nvPicPr>
                  <pic:blipFill>
                    <a:blip r:embed="rId11"/>
                    <a:stretch>
                      <a:fillRect/>
                    </a:stretch>
                  </pic:blipFill>
                  <pic:spPr>
                    <a:xfrm>
                      <a:off x="0" y="0"/>
                      <a:ext cx="5486400" cy="3936430"/>
                    </a:xfrm>
                    <a:prstGeom prst="rect"/>
                  </pic:spPr>
                </pic:pic>
              </a:graphicData>
            </a:graphic>
          </wp:inline>
        </w:drawing>
      </w:r>
    </w:p>
    <w:p>
      <w:pPr>
        <w:spacing w:before="40" w:after="160"/>
        <w:jc w:val="center"/>
      </w:pPr>
      <w:r>
        <w:rPr>
          <w:rFonts w:ascii="Times New Roman" w:hAnsi="Times New Roman"/>
          <w:b/>
          <w:color w:val="000000"/>
          <w:sz w:val="18"/>
        </w:rPr>
        <w:t>FIGURE 3. Within-choice-set variation (Panel A) and attribute correlations (Panel B)</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MNL Estimation Results</w:t>
      </w:r>
    </w:p>
    <w:p>
      <w:pPr>
        <w:spacing w:before="40" w:after="160"/>
        <w:jc w:val="center"/>
      </w:pPr>
      <w:r>
        <w:rPr>
          <w:rFonts w:ascii="Times New Roman" w:hAnsi="Times New Roman"/>
          <w:b/>
          <w:color w:val="000000"/>
          <w:sz w:val="18"/>
        </w:rPr>
        <w:t>TABLE 4. Basic model and private-vehicle ASC model estimates</w:t>
      </w:r>
    </w:p>
    <w:tbl>
      <w:tblPr>
        <w:tblW w:type="auto" w:w="0"/>
        <w:jc w:val="center"/>
        <w:tblLook w:firstColumn="1" w:firstRow="1" w:lastColumn="0" w:lastRow="0" w:noHBand="0" w:noVBand="1" w:val="04A0"/>
      </w:tblPr>
      <w:tblGrid>
        <w:gridCol w:w="3010"/>
        <w:gridCol w:w="3010"/>
        <w:gridCol w:w="3010"/>
      </w:tblGrid>
      <w:tr>
        <w:trPr>
          <w:trHeight w:val="320"/>
        </w:trPr>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Variable</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Basic β (SE)</w:t>
            </w:r>
          </w:p>
        </w:tc>
        <w:tc>
          <w:tcPr>
            <w:tcW w:type="dxa" w:w="301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7"/>
              </w:rPr>
              <w:t>MNL+ASC β (SE)</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Time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−0.00693 (0.00841)</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−0.00239 (0.00861)</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Cost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−0.0000225 (0.0000174)</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−0.0000211 (0.0000179)</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Transfers</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0.240 (0.258)</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0.231 (0.263)</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Access distance</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0.336 (0.194)</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0.502</w:t>
            </w:r>
            <w:r>
              <w:rPr>
                <w:rFonts w:ascii="Times New Roman" w:hAnsi="Times New Roman"/>
                <w:i/>
                <w:color w:val="000000"/>
                <w:sz w:val="17"/>
              </w:rPr>
            </w:r>
            <w:r>
              <w:rPr>
                <w:rFonts w:ascii="Times New Roman" w:hAnsi="Times New Roman"/>
                <w:color w:val="000000"/>
                <w:sz w:val="17"/>
              </w:rPr>
              <w:t xml:space="preserve"> (0.214)</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Comfort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0.413</w:t>
            </w:r>
            <w:r>
              <w:rPr>
                <w:rFonts w:ascii="Times New Roman" w:hAnsi="Times New Roman"/>
                <w:i/>
                <w:color w:val="000000"/>
                <w:sz w:val="17"/>
              </w:rPr>
            </w:r>
            <w:r>
              <w:rPr>
                <w:rFonts w:ascii="Times New Roman" w:hAnsi="Times New Roman"/>
                <w:color w:val="000000"/>
                <w:sz w:val="17"/>
              </w:rPr>
              <w:t xml:space="preserve"> (0.164)</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0.255 (0.174)</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Reliability</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0.118 (0.132)</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0.353</w:t>
            </w:r>
            <w:r>
              <w:rPr>
                <w:rFonts w:ascii="Times New Roman" w:hAnsi="Times New Roman"/>
                <w:i/>
                <w:color w:val="000000"/>
                <w:sz w:val="17"/>
              </w:rPr>
            </w:r>
            <w:r>
              <w:rPr>
                <w:rFonts w:ascii="Times New Roman" w:hAnsi="Times New Roman"/>
                <w:color w:val="000000"/>
                <w:sz w:val="17"/>
              </w:rPr>
              <w:t xml:space="preserve"> (0.166)</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Private-vehicle ASC</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0.610</w:t>
            </w:r>
            <w:r>
              <w:rPr>
                <w:rFonts w:ascii="Times New Roman" w:hAnsi="Times New Roman"/>
                <w:i/>
                <w:color w:val="000000"/>
                <w:sz w:val="17"/>
              </w:rPr>
            </w:r>
            <w:r>
              <w:rPr>
                <w:rFonts w:ascii="Times New Roman" w:hAnsi="Times New Roman"/>
                <w:color w:val="000000"/>
                <w:sz w:val="17"/>
              </w:rPr>
              <w:t xml:space="preserve"> (0.247)</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Log-likelihood</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−255.166</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−252.049</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McFadden ρ²</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0.0397</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0.0514</w:t>
            </w:r>
          </w:p>
        </w:tc>
      </w:tr>
      <w:tr>
        <w:trPr>
          <w:trHeight w:val="280"/>
        </w:trPr>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7"/>
              </w:rPr>
              <w:t>AIC</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522.33</w:t>
            </w:r>
          </w:p>
        </w:tc>
        <w:tc>
          <w:tcPr>
            <w:tcW w:type="dxa" w:w="3010"/>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7"/>
              </w:rPr>
              <w:t>518.10</w:t>
            </w:r>
          </w:p>
        </w:tc>
      </w:tr>
      <w:tr>
        <w:trPr>
          <w:trHeight w:val="280"/>
        </w:trPr>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7"/>
              </w:rPr>
              <w:t>BIC</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7"/>
              </w:rPr>
              <w:t>544.91</w:t>
            </w:r>
          </w:p>
        </w:tc>
        <w:tc>
          <w:tcPr>
            <w:tcW w:type="dxa" w:w="3010"/>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7"/>
              </w:rPr>
              <w:t>544.43</w:t>
            </w:r>
          </w:p>
        </w:tc>
      </w:tr>
    </w:tbl>
    <w:p>
      <w:pPr>
        <w:spacing w:before="0" w:after="80"/>
      </w:pPr>
    </w:p>
    <w:p>
      <w:pPr>
        <w:spacing w:before="40" w:after="120"/>
      </w:pPr>
      <w:r>
        <w:rPr>
          <w:rFonts w:ascii="Times New Roman" w:hAnsi="Times New Roman"/>
          <w:color w:val="6E6E6E"/>
          <w:sz w:val="16"/>
        </w:rPr>
      </w:r>
      <w:r>
        <w:rPr>
          <w:rFonts w:ascii="Times New Roman" w:hAnsi="Times New Roman"/>
          <w:b/>
          <w:color w:val="6E6E6E"/>
          <w:sz w:val="16"/>
        </w:rPr>
        <w:t>Note:</w:t>
      </w:r>
      <w:r>
        <w:rPr>
          <w:rFonts w:ascii="Times New Roman" w:hAnsi="Times New Roman"/>
          <w:color w:val="6E6E6E"/>
          <w:sz w:val="16"/>
        </w:rPr>
        <w:t xml:space="preserve"> </w:t>
      </w:r>
      <w:r>
        <w:rPr>
          <w:rFonts w:ascii="Times New Roman" w:hAnsi="Times New Roman"/>
          <w:i/>
          <w:color w:val="6E6E6E"/>
          <w:sz w:val="16"/>
        </w:rPr>
      </w:r>
      <w:r>
        <w:rPr>
          <w:rFonts w:ascii="Times New Roman" w:hAnsi="Times New Roman"/>
          <w:color w:val="6E6E6E"/>
          <w:sz w:val="16"/>
        </w:rPr>
        <w:t xml:space="preserve"> significant at 5% (|t|&gt;1.96); ordinary SE in parentheses.</w:t>
      </w:r>
    </w:p>
    <w:p>
      <w:pPr>
        <w:spacing w:before="0" w:after="80" w:line="252" w:lineRule="auto"/>
        <w:jc w:val="both"/>
      </w:pPr>
      <w:r>
        <w:rPr>
          <w:rFonts w:ascii="Times New Roman" w:hAnsi="Times New Roman"/>
          <w:sz w:val="19"/>
        </w:rPr>
        <w:t>The ASC improved log-likelihood and AIC, although the increase in ρ² from 0.0397 to 0.0514 still indicates low explanatory power. The private-vehicle ASC was positive and significant (β=0.610), indicating an inclination towards private vehicles beyond measured attributes. Reliability was positive and significant as theoretically expected. Time and cost were negative but insignificant.</w:t>
      </w:r>
    </w:p>
    <w:p>
      <w:pPr>
        <w:spacing w:before="0" w:after="80" w:line="252" w:lineRule="auto"/>
        <w:jc w:val="both"/>
      </w:pPr>
      <w:r>
        <w:rPr>
          <w:rFonts w:ascii="Times New Roman" w:hAnsi="Times New Roman"/>
          <w:sz w:val="19"/>
        </w:rPr>
        <w:t>Access distance was positive and significant, contrary to theory. This is not interpreted as a preference for longer access. Zero access for private vehicles, differences in network coverage, and system-derived proxies may cause the parameter to capture alternative structure or unmodelled spatial factors. Comfort became insignificant after including the ASC, suggesting association between the comfort proxy and mode identity.</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608395"/>
            <wp:docPr id="4" name="Picture 4"/>
            <wp:cNvGraphicFramePr>
              <a:graphicFrameLocks noChangeAspect="1"/>
            </wp:cNvGraphicFramePr>
            <a:graphic>
              <a:graphicData uri="http://schemas.openxmlformats.org/drawingml/2006/picture">
                <pic:pic>
                  <pic:nvPicPr>
                    <pic:cNvPr id="0" name="figure_04_mnl_coefficients.png"/>
                    <pic:cNvPicPr/>
                  </pic:nvPicPr>
                  <pic:blipFill>
                    <a:blip r:embed="rId12"/>
                    <a:stretch>
                      <a:fillRect/>
                    </a:stretch>
                  </pic:blipFill>
                  <pic:spPr>
                    <a:xfrm>
                      <a:off x="0" y="0"/>
                      <a:ext cx="5486400" cy="3608395"/>
                    </a:xfrm>
                    <a:prstGeom prst="rect"/>
                  </pic:spPr>
                </pic:pic>
              </a:graphicData>
            </a:graphic>
          </wp:inline>
        </w:drawing>
      </w:r>
    </w:p>
    <w:p>
      <w:pPr>
        <w:spacing w:before="40" w:after="160"/>
        <w:jc w:val="center"/>
      </w:pPr>
      <w:r>
        <w:rPr>
          <w:rFonts w:ascii="Times New Roman" w:hAnsi="Times New Roman"/>
          <w:b/>
          <w:color w:val="000000"/>
          <w:sz w:val="18"/>
        </w:rPr>
        <w:t>FIGURE 4. MNL+ASC coefficients and 95% confidence intervals</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Sensitivity and Model Selection</w:t>
      </w:r>
    </w:p>
    <w:p>
      <w:pPr>
        <w:spacing w:before="40" w:after="160"/>
        <w:jc w:val="center"/>
      </w:pPr>
      <w:r>
        <w:rPr>
          <w:rFonts w:ascii="Times New Roman" w:hAnsi="Times New Roman"/>
          <w:b/>
          <w:color w:val="000000"/>
          <w:sz w:val="18"/>
        </w:rPr>
        <w:t>TABLE 5. Model-specification sensitivity</w:t>
      </w:r>
    </w:p>
    <w:p>
      <w:pPr>
        <w:sectPr>
          <w:pgSz w:w="11909" w:h="16834"/>
          <w:pgMar w:top="1440" w:right="1440" w:bottom="1440" w:left="1440" w:header="720" w:footer="720" w:gutter="0"/>
          <w:docGrid w:linePitch="360"/>
          <w:type w:val="continuous"/>
          <w:cols w:num="2" w:space="708"/>
        </w:sectPr>
      </w:pPr>
    </w:p>
    <w:tbl>
      <w:tblPr>
        <w:tblW w:type="auto" w:w="0"/>
        <w:jc w:val="center"/>
        <w:tblLook w:firstColumn="1" w:firstRow="1" w:lastColumn="0" w:lastRow="0" w:noHBand="0" w:noVBand="1" w:val="04A0"/>
      </w:tblPr>
      <w:tblGrid>
        <w:gridCol w:w="1505"/>
        <w:gridCol w:w="1505"/>
        <w:gridCol w:w="1505"/>
        <w:gridCol w:w="1505"/>
        <w:gridCol w:w="1505"/>
        <w:gridCol w:w="1505"/>
      </w:tblGrid>
      <w:tr>
        <w:trPr>
          <w:trHeight w:val="320"/>
        </w:trPr>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Specification</w:t>
            </w:r>
          </w:p>
        </w:tc>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LL</w:t>
            </w:r>
          </w:p>
        </w:tc>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ρ²</w:t>
            </w:r>
          </w:p>
        </w:tc>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AIC</w:t>
            </w:r>
          </w:p>
        </w:tc>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BIC</w:t>
            </w:r>
          </w:p>
        </w:tc>
        <w:tc>
          <w:tcPr>
            <w:tcW w:type="dxa" w:w="1505"/>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LR p-value</w:t>
            </w:r>
          </w:p>
        </w:tc>
      </w:tr>
      <w:tr>
        <w:trPr>
          <w:trHeight w:val="280"/>
        </w:trPr>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Full + ASC</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−252.049</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0.0514</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518.10</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544.43</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r>
      <w:tr>
        <w:trPr>
          <w:trHeight w:val="280"/>
        </w:trPr>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Without access</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−255.122</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0.0399</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522.24</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544.82</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0.0132</w:t>
            </w:r>
          </w:p>
        </w:tc>
      </w:tr>
      <w:tr>
        <w:trPr>
          <w:trHeight w:val="280"/>
        </w:trPr>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Without transfers</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−252.436</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0.0500</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516.87</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539.44</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0.3790</w:t>
            </w:r>
          </w:p>
        </w:tc>
      </w:tr>
      <w:tr>
        <w:trPr>
          <w:trHeight w:val="280"/>
        </w:trPr>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Without access and transfers</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−255.143</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0.0398</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520.29</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539.10</w:t>
            </w:r>
          </w:p>
        </w:tc>
        <w:tc>
          <w:tcPr>
            <w:tcW w:type="dxa" w:w="1505"/>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0.0453</w:t>
            </w:r>
          </w:p>
        </w:tc>
      </w:tr>
      <w:tr>
        <w:trPr>
          <w:trHeight w:val="280"/>
        </w:trPr>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Without paid non-public transport†</w:t>
            </w:r>
          </w:p>
        </w:tc>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−237.397</w:t>
            </w:r>
          </w:p>
        </w:tc>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0.0404</w:t>
            </w:r>
          </w:p>
        </w:tc>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488.79</w:t>
            </w:r>
          </w:p>
        </w:tc>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514.67</w:t>
            </w:r>
          </w:p>
        </w:tc>
        <w:tc>
          <w:tcPr>
            <w:tcW w:type="dxa" w:w="1505"/>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w:t>
            </w:r>
          </w:p>
        </w:tc>
      </w:tr>
    </w:tbl>
    <w:p>
      <w:pPr>
        <w:spacing w:before="0" w:after="80"/>
      </w:pPr>
    </w:p>
    <w:p>
      <w:pPr>
        <w:sectPr>
          <w:pgSz w:w="11909" w:h="16834"/>
          <w:pgMar w:top="1440" w:right="1440" w:bottom="1440" w:left="1440" w:header="720" w:footer="720" w:gutter="0"/>
          <w:docGrid w:linePitch="360"/>
          <w:type w:val="continuous"/>
          <w:cols w:num="1" w:space="708"/>
        </w:sectPr>
      </w:pPr>
    </w:p>
    <w:p>
      <w:pPr>
        <w:spacing w:before="40" w:after="120"/>
      </w:pPr>
      <w:r>
        <w:rPr>
          <w:rFonts w:ascii="Times New Roman" w:hAnsi="Times New Roman"/>
          <w:color w:val="6E6E6E"/>
          <w:sz w:val="16"/>
        </w:rPr>
      </w:r>
      <w:r>
        <w:rPr>
          <w:rFonts w:ascii="Times New Roman" w:hAnsi="Times New Roman"/>
          <w:b/>
          <w:color w:val="6E6E6E"/>
          <w:sz w:val="16"/>
        </w:rPr>
        <w:t>Note:</w:t>
      </w:r>
      <w:r>
        <w:rPr>
          <w:rFonts w:ascii="Times New Roman" w:hAnsi="Times New Roman"/>
          <w:color w:val="6E6E6E"/>
          <w:sz w:val="16"/>
        </w:rPr>
        <w:t xml:space="preserve"> †N=298; AIC/BIC are not directly compared with N=318 models.</w:t>
      </w:r>
    </w:p>
    <w:p>
      <w:pPr>
        <w:spacing w:before="0" w:after="80" w:line="252" w:lineRule="auto"/>
        <w:jc w:val="both"/>
      </w:pPr>
      <w:r>
        <w:rPr>
          <w:rFonts w:ascii="Times New Roman" w:hAnsi="Times New Roman"/>
          <w:sz w:val="19"/>
        </w:rPr>
        <w:t>Removing access significantly reduced fit (p=0.0132), showing that access contains information despite its problematic sign. Removing transfers did not significantly reduce fit (p=0.3790) and yielded a lower AIC. The no-transfer model is therefore a useful robustness specification, while the full model is retained as the main conceptual model.</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608395"/>
            <wp:docPr id="5" name="Picture 5"/>
            <wp:cNvGraphicFramePr>
              <a:graphicFrameLocks noChangeAspect="1"/>
            </wp:cNvGraphicFramePr>
            <a:graphic>
              <a:graphicData uri="http://schemas.openxmlformats.org/drawingml/2006/picture">
                <pic:pic>
                  <pic:nvPicPr>
                    <pic:cNvPr id="0" name="figure_05_model_fit.png"/>
                    <pic:cNvPicPr/>
                  </pic:nvPicPr>
                  <pic:blipFill>
                    <a:blip r:embed="rId13"/>
                    <a:stretch>
                      <a:fillRect/>
                    </a:stretch>
                  </pic:blipFill>
                  <pic:spPr>
                    <a:xfrm>
                      <a:off x="0" y="0"/>
                      <a:ext cx="5486400" cy="3608395"/>
                    </a:xfrm>
                    <a:prstGeom prst="rect"/>
                  </pic:spPr>
                </pic:pic>
              </a:graphicData>
            </a:graphic>
          </wp:inline>
        </w:drawing>
      </w:r>
    </w:p>
    <w:p>
      <w:pPr>
        <w:spacing w:before="40" w:after="160"/>
        <w:jc w:val="center"/>
      </w:pPr>
      <w:r>
        <w:rPr>
          <w:rFonts w:ascii="Times New Roman" w:hAnsi="Times New Roman"/>
          <w:b/>
          <w:color w:val="000000"/>
          <w:sz w:val="18"/>
        </w:rPr>
        <w:t>FIGURE 5. AIC and BIC for models estimated on the same sample</w:t>
      </w:r>
    </w:p>
    <w:p>
      <w:pPr>
        <w:sectPr>
          <w:pgSz w:w="11909" w:h="16834"/>
          <w:pgMar w:top="1440" w:right="1440" w:bottom="1440" w:left="1440" w:header="720" w:footer="720" w:gutter="0"/>
          <w:docGrid w:linePitch="360"/>
          <w:type w:val="continuous"/>
          <w:cols w:num="1" w:space="708"/>
        </w:sectPr>
      </w:pPr>
    </w:p>
    <w:p>
      <w:pPr>
        <w:spacing w:before="0" w:after="80" w:line="252" w:lineRule="auto"/>
        <w:jc w:val="both"/>
      </w:pPr>
      <w:r>
        <w:rPr>
          <w:rFonts w:ascii="Times New Roman" w:hAnsi="Times New Roman"/>
          <w:sz w:val="19"/>
        </w:rPr>
        <w:t>Comfort, reliability, and ASC remained positive across specifications. In contrast, time and cost changed sign in some sensitivity analyses. This instability limits interpretation of value of time and indicates that six attributes do not fully separate the mechanisms underlying choice.</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6396700"/>
            <wp:docPr id="6" name="Picture 6"/>
            <wp:cNvGraphicFramePr>
              <a:graphicFrameLocks noChangeAspect="1"/>
            </wp:cNvGraphicFramePr>
            <a:graphic>
              <a:graphicData uri="http://schemas.openxmlformats.org/drawingml/2006/picture">
                <pic:pic>
                  <pic:nvPicPr>
                    <pic:cNvPr id="0" name="figure_06_coefficient_stability.png"/>
                    <pic:cNvPicPr/>
                  </pic:nvPicPr>
                  <pic:blipFill>
                    <a:blip r:embed="rId14"/>
                    <a:stretch>
                      <a:fillRect/>
                    </a:stretch>
                  </pic:blipFill>
                  <pic:spPr>
                    <a:xfrm>
                      <a:off x="0" y="0"/>
                      <a:ext cx="5486400" cy="6396700"/>
                    </a:xfrm>
                    <a:prstGeom prst="rect"/>
                  </pic:spPr>
                </pic:pic>
              </a:graphicData>
            </a:graphic>
          </wp:inline>
        </w:drawing>
      </w:r>
    </w:p>
    <w:p>
      <w:pPr>
        <w:spacing w:before="40" w:after="160"/>
        <w:jc w:val="center"/>
      </w:pPr>
      <w:r>
        <w:rPr>
          <w:rFonts w:ascii="Times New Roman" w:hAnsi="Times New Roman"/>
          <w:b/>
          <w:color w:val="000000"/>
          <w:sz w:val="18"/>
        </w:rPr>
        <w:t>FIGURE 6. Coefficient stability relative to the full model</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Implications and Limitations</w:t>
      </w:r>
    </w:p>
    <w:p>
      <w:pPr>
        <w:spacing w:before="0" w:after="80" w:line="252" w:lineRule="auto"/>
        <w:jc w:val="both"/>
      </w:pPr>
      <w:r>
        <w:rPr>
          <w:rFonts w:ascii="Times New Roman" w:hAnsi="Times New Roman"/>
          <w:sz w:val="19"/>
        </w:rPr>
        <w:t>The results support prioritising reliability: more predictable schedules and consistent arrival information may strengthen public transport attractiveness. The positive ASC suggests that habit, privacy, flexibility, vehicle availability, or other omitted factors continue to favour private vehicles. Policy should therefore address uncertainty and transfer barriers rather than focusing solely on travel time.</w:t>
      </w:r>
    </w:p>
    <w:p>
      <w:pPr>
        <w:spacing w:before="0" w:after="80" w:line="252" w:lineRule="auto"/>
        <w:jc w:val="both"/>
      </w:pPr>
      <w:r>
        <w:rPr>
          <w:rFonts w:ascii="Times New Roman" w:hAnsi="Times New Roman"/>
          <w:sz w:val="19"/>
        </w:rPr>
        <w:t>Interpretation is limited by convenience sampling, unverified trip realisation, two collection modes, and comfort, reliability, headway, and speed parameters partly based on system assumptions. MNL also imposes the independence of irrelevant alternatives property (Train 2009). Low explanatory power and the unexpected access sign indicate the need for observed operations, richer access measures, attitudinal variables, and heterogeneity models.</w:t>
      </w:r>
    </w:p>
    <w:p>
      <w:pPr>
        <w:keepNext/>
        <w:spacing w:before="240" w:after="80"/>
        <w:jc w:val="center"/>
      </w:pPr>
      <w:r>
        <w:rPr>
          <w:rFonts w:ascii="Times New Roman" w:hAnsi="Times New Roman"/>
          <w:b/>
          <w:color w:val="000000"/>
          <w:sz w:val="20"/>
        </w:rPr>
        <w:t>CONCLUSION</w:t>
      </w:r>
    </w:p>
    <w:p>
      <w:pPr>
        <w:spacing w:before="0" w:after="80" w:line="252" w:lineRule="auto"/>
        <w:jc w:val="both"/>
      </w:pPr>
      <w:r>
        <w:rPr>
          <w:rFonts w:ascii="Times New Roman" w:hAnsi="Times New Roman"/>
          <w:sz w:val="19"/>
        </w:rPr>
        <w:t>This study links application-generated choice sets for routine trips with MNL analysis of mode choice in Palembang’s integrated public transport network. Of 400 respondents, 318 observations met the quality rules. MNL+ASC performed better than the basic model, but explanatory power remained low. Reliability and the baseline inclination towards private vehicles were significant and stable, whereas time, cost, and transfers were insignificant. Access contributed statistical information but had a theoretically unexpected sign and cannot support direct behavioural interpretation.</w:t>
      </w:r>
    </w:p>
    <w:p>
      <w:pPr>
        <w:spacing w:before="0" w:after="80" w:line="252" w:lineRule="auto"/>
        <w:jc w:val="both"/>
      </w:pPr>
      <w:r>
        <w:rPr>
          <w:rFonts w:ascii="Times New Roman" w:hAnsi="Times New Roman"/>
          <w:sz w:val="19"/>
        </w:rPr>
        <w:t>The findings direct service improvement towards reliability and omitted factors sustaining private-vehicle use. The no-transfer model supports partial robustness, but unstable time and cost signs require caution. Coefficients have not been deployed for production recommendations. Further validation should combine observed operations, realised trips, validated perception measures, and more representative sampling.</w:t>
      </w:r>
    </w:p>
    <w:p>
      <w:pPr>
        <w:keepNext/>
        <w:spacing w:before="240" w:after="80"/>
        <w:jc w:val="center"/>
      </w:pPr>
      <w:r>
        <w:rPr>
          <w:rFonts w:ascii="Times New Roman" w:hAnsi="Times New Roman"/>
          <w:b/>
          <w:color w:val="000000"/>
          <w:sz w:val="20"/>
        </w:rPr>
        <w:t>ACKNOWLEDGEMENT</w:t>
      </w:r>
    </w:p>
    <w:p>
      <w:pPr>
        <w:spacing w:before="0" w:after="80" w:line="252" w:lineRule="auto"/>
        <w:jc w:val="both"/>
      </w:pPr>
      <w:r>
        <w:rPr>
          <w:rFonts w:ascii="Times New Roman" w:hAnsi="Times New Roman"/>
          <w:sz w:val="19"/>
        </w:rPr>
        <w:t>This research was supported by `[FUNDING AGENCY]` under grant number `[GRANT NUMBER]`.</w:t>
      </w:r>
    </w:p>
    <w:p>
      <w:pPr>
        <w:keepNext/>
        <w:spacing w:before="240" w:after="80"/>
        <w:jc w:val="center"/>
      </w:pPr>
      <w:r>
        <w:rPr>
          <w:rFonts w:ascii="Times New Roman" w:hAnsi="Times New Roman"/>
          <w:b/>
          <w:color w:val="000000"/>
          <w:sz w:val="20"/>
        </w:rPr>
        <w:t>DECLARATION OF COMPETING INTEREST</w:t>
      </w:r>
    </w:p>
    <w:p>
      <w:pPr>
        <w:spacing w:before="0" w:after="80" w:line="252" w:lineRule="auto"/>
        <w:jc w:val="both"/>
      </w:pPr>
      <w:r>
        <w:rPr>
          <w:rFonts w:ascii="Times New Roman" w:hAnsi="Times New Roman"/>
          <w:sz w:val="19"/>
        </w:rPr>
        <w:t>None.</w:t>
      </w:r>
    </w:p>
    <w:p>
      <w:pPr>
        <w:keepNext/>
        <w:spacing w:before="240" w:after="80"/>
        <w:jc w:val="center"/>
      </w:pPr>
      <w:r>
        <w:rPr>
          <w:rFonts w:ascii="Times New Roman" w:hAnsi="Times New Roman"/>
          <w:b/>
          <w:color w:val="000000"/>
          <w:sz w:val="20"/>
        </w:rPr>
        <w:t>REFERENCES</w:t>
      </w:r>
    </w:p>
    <w:p>
      <w:pPr>
        <w:spacing w:before="0" w:after="80" w:line="252" w:lineRule="auto"/>
        <w:jc w:val="both"/>
      </w:pPr>
      <w:r>
        <w:rPr>
          <w:rFonts w:ascii="Times New Roman" w:hAnsi="Times New Roman"/>
          <w:sz w:val="19"/>
        </w:rPr>
        <w:t xml:space="preserve">Badan Pusat Statistik Kota Palembang. 2024. </w:t>
      </w:r>
      <w:r>
        <w:rPr>
          <w:rFonts w:ascii="Times New Roman" w:hAnsi="Times New Roman"/>
          <w:i/>
          <w:sz w:val="19"/>
        </w:rPr>
        <w:t>Kota Palembang dalam Angka 2024</w:t>
      </w:r>
      <w:r>
        <w:rPr>
          <w:rFonts w:ascii="Times New Roman" w:hAnsi="Times New Roman"/>
          <w:sz w:val="19"/>
        </w:rPr>
        <w:t>. Palembang: BPS Kota Palembang.</w:t>
      </w:r>
    </w:p>
    <w:p>
      <w:pPr>
        <w:spacing w:before="0" w:after="80" w:line="252" w:lineRule="auto"/>
        <w:jc w:val="both"/>
      </w:pPr>
      <w:r>
        <w:rPr>
          <w:rFonts w:ascii="Times New Roman" w:hAnsi="Times New Roman"/>
          <w:sz w:val="19"/>
        </w:rPr>
        <w:t xml:space="preserve">Bates, J., Polak, J., Jones, P. &amp; Cook, A. 2001. The valuation of reliability for personal travel. </w:t>
      </w:r>
      <w:r>
        <w:rPr>
          <w:rFonts w:ascii="Times New Roman" w:hAnsi="Times New Roman"/>
          <w:i/>
          <w:sz w:val="19"/>
        </w:rPr>
        <w:t>Transportation Research Part E</w:t>
      </w:r>
      <w:r>
        <w:rPr>
          <w:rFonts w:ascii="Times New Roman" w:hAnsi="Times New Roman"/>
          <w:sz w:val="19"/>
        </w:rPr>
        <w:t xml:space="preserve"> 37(2–3): 191–229. https://doi.org/10.1016/S1366-5545(00)00011-9</w:t>
      </w:r>
    </w:p>
    <w:p>
      <w:pPr>
        <w:spacing w:before="0" w:after="80" w:line="252" w:lineRule="auto"/>
        <w:jc w:val="both"/>
      </w:pPr>
      <w:r>
        <w:rPr>
          <w:rFonts w:ascii="Times New Roman" w:hAnsi="Times New Roman"/>
          <w:sz w:val="19"/>
        </w:rPr>
        <w:t xml:space="preserve">Ben-Akiva, M. &amp; Lerman, S.R. 1985. </w:t>
      </w:r>
      <w:r>
        <w:rPr>
          <w:rFonts w:ascii="Times New Roman" w:hAnsi="Times New Roman"/>
          <w:i/>
          <w:sz w:val="19"/>
        </w:rPr>
        <w:t>Discrete Choice Analysis: Theory and Application to Travel Demand</w:t>
      </w:r>
      <w:r>
        <w:rPr>
          <w:rFonts w:ascii="Times New Roman" w:hAnsi="Times New Roman"/>
          <w:sz w:val="19"/>
        </w:rPr>
        <w:t>. Cambridge, MA: MIT Press.</w:t>
      </w:r>
    </w:p>
    <w:p>
      <w:pPr>
        <w:spacing w:before="0" w:after="80" w:line="252" w:lineRule="auto"/>
        <w:jc w:val="both"/>
      </w:pPr>
      <w:r>
        <w:rPr>
          <w:rFonts w:ascii="Times New Roman" w:hAnsi="Times New Roman"/>
          <w:sz w:val="19"/>
        </w:rPr>
        <w:t xml:space="preserve">Bhat, C.R. 1998. Accommodating variations in responsiveness to level-of-service measures in travel mode choice modeling. </w:t>
      </w:r>
      <w:r>
        <w:rPr>
          <w:rFonts w:ascii="Times New Roman" w:hAnsi="Times New Roman"/>
          <w:i/>
          <w:sz w:val="19"/>
        </w:rPr>
        <w:t>Transportation Research Part A</w:t>
      </w:r>
      <w:r>
        <w:rPr>
          <w:rFonts w:ascii="Times New Roman" w:hAnsi="Times New Roman"/>
          <w:sz w:val="19"/>
        </w:rPr>
        <w:t xml:space="preserve"> 32(7): 495–507. https://doi.org/10.1016/S0965-8564(98)00011-1</w:t>
      </w:r>
    </w:p>
    <w:p>
      <w:pPr>
        <w:spacing w:before="0" w:after="80" w:line="252" w:lineRule="auto"/>
        <w:jc w:val="both"/>
      </w:pPr>
      <w:r>
        <w:rPr>
          <w:rFonts w:ascii="Times New Roman" w:hAnsi="Times New Roman"/>
          <w:sz w:val="19"/>
        </w:rPr>
        <w:t xml:space="preserve">Dijkstra, E.W. 1959. A note on two problems in connexion with graphs. </w:t>
      </w:r>
      <w:r>
        <w:rPr>
          <w:rFonts w:ascii="Times New Roman" w:hAnsi="Times New Roman"/>
          <w:i/>
          <w:sz w:val="19"/>
        </w:rPr>
        <w:t>Numerische Mathematik</w:t>
      </w:r>
      <w:r>
        <w:rPr>
          <w:rFonts w:ascii="Times New Roman" w:hAnsi="Times New Roman"/>
          <w:sz w:val="19"/>
        </w:rPr>
        <w:t xml:space="preserve"> 1: 269–271. https://doi.org/10.1007/BF01386390</w:t>
      </w:r>
    </w:p>
    <w:p>
      <w:pPr>
        <w:spacing w:before="0" w:after="80" w:line="252" w:lineRule="auto"/>
        <w:jc w:val="both"/>
      </w:pPr>
      <w:r>
        <w:rPr>
          <w:rFonts w:ascii="Times New Roman" w:hAnsi="Times New Roman"/>
          <w:sz w:val="19"/>
        </w:rPr>
        <w:t xml:space="preserve">Direktorat Jenderal Perkeretaapian. 2023. </w:t>
      </w:r>
      <w:r>
        <w:rPr>
          <w:rFonts w:ascii="Times New Roman" w:hAnsi="Times New Roman"/>
          <w:i/>
          <w:sz w:val="19"/>
        </w:rPr>
        <w:t>Profil Pengoperasian LRT Sumatera Selatan</w:t>
      </w:r>
      <w:r>
        <w:rPr>
          <w:rFonts w:ascii="Times New Roman" w:hAnsi="Times New Roman"/>
          <w:sz w:val="19"/>
        </w:rPr>
        <w:t>. Jakarta: Kementerian Perhubungan Republik Indonesia.</w:t>
      </w:r>
    </w:p>
    <w:p>
      <w:pPr>
        <w:spacing w:before="0" w:after="80" w:line="252" w:lineRule="auto"/>
        <w:jc w:val="both"/>
      </w:pPr>
      <w:r>
        <w:rPr>
          <w:rFonts w:ascii="Times New Roman" w:hAnsi="Times New Roman"/>
          <w:sz w:val="19"/>
        </w:rPr>
        <w:t xml:space="preserve">Hensher, D.A., Rose, J.M. &amp; Greene, W.H. 2015. </w:t>
      </w:r>
      <w:r>
        <w:rPr>
          <w:rFonts w:ascii="Times New Roman" w:hAnsi="Times New Roman"/>
          <w:i/>
          <w:sz w:val="19"/>
        </w:rPr>
        <w:t>Applied Choice Analysis</w:t>
      </w:r>
      <w:r>
        <w:rPr>
          <w:rFonts w:ascii="Times New Roman" w:hAnsi="Times New Roman"/>
          <w:sz w:val="19"/>
        </w:rPr>
        <w:t>. Cambridge: Cambridge University Press. https://doi.org/10.1017/CBO9781316136232</w:t>
      </w:r>
    </w:p>
    <w:p>
      <w:pPr>
        <w:spacing w:before="0" w:after="80" w:line="252" w:lineRule="auto"/>
        <w:jc w:val="both"/>
      </w:pPr>
      <w:r>
        <w:rPr>
          <w:rFonts w:ascii="Times New Roman" w:hAnsi="Times New Roman"/>
          <w:sz w:val="19"/>
        </w:rPr>
        <w:t xml:space="preserve">Louviere, J.J., Hensher, D.A. &amp; Swait, J.D. 2000. </w:t>
      </w:r>
      <w:r>
        <w:rPr>
          <w:rFonts w:ascii="Times New Roman" w:hAnsi="Times New Roman"/>
          <w:i/>
          <w:sz w:val="19"/>
        </w:rPr>
        <w:t>Stated Choice Methods: Analysis and Applications</w:t>
      </w:r>
      <w:r>
        <w:rPr>
          <w:rFonts w:ascii="Times New Roman" w:hAnsi="Times New Roman"/>
          <w:sz w:val="19"/>
        </w:rPr>
        <w:t>. Cambridge: Cambridge University Press. https://doi.org/10.1017/CBO9780511753831</w:t>
      </w:r>
    </w:p>
    <w:p>
      <w:pPr>
        <w:spacing w:before="0" w:after="80" w:line="252" w:lineRule="auto"/>
        <w:jc w:val="both"/>
      </w:pPr>
      <w:r>
        <w:rPr>
          <w:rFonts w:ascii="Times New Roman" w:hAnsi="Times New Roman"/>
          <w:sz w:val="19"/>
        </w:rPr>
        <w:t xml:space="preserve">McFadden, D. 1974. Conditional logit analysis of qualitative choice behavior. In </w:t>
      </w:r>
      <w:r>
        <w:rPr>
          <w:rFonts w:ascii="Times New Roman" w:hAnsi="Times New Roman"/>
          <w:i/>
          <w:sz w:val="19"/>
        </w:rPr>
        <w:t>Frontiers in Econometrics</w:t>
      </w:r>
      <w:r>
        <w:rPr>
          <w:rFonts w:ascii="Times New Roman" w:hAnsi="Times New Roman"/>
          <w:sz w:val="19"/>
        </w:rPr>
        <w:t>, edited by P. Zarembka, 105–142. New York: Academic Press.</w:t>
      </w:r>
    </w:p>
    <w:p>
      <w:pPr>
        <w:spacing w:before="0" w:after="80" w:line="252" w:lineRule="auto"/>
        <w:jc w:val="both"/>
      </w:pPr>
      <w:r>
        <w:rPr>
          <w:rFonts w:ascii="Times New Roman" w:hAnsi="Times New Roman"/>
          <w:sz w:val="19"/>
        </w:rPr>
        <w:t xml:space="preserve">Train, K.E. 2009. </w:t>
      </w:r>
      <w:r>
        <w:rPr>
          <w:rFonts w:ascii="Times New Roman" w:hAnsi="Times New Roman"/>
          <w:i/>
          <w:sz w:val="19"/>
        </w:rPr>
        <w:t>Discrete Choice Methods with Simulation</w:t>
      </w:r>
      <w:r>
        <w:rPr>
          <w:rFonts w:ascii="Times New Roman" w:hAnsi="Times New Roman"/>
          <w:sz w:val="19"/>
        </w:rPr>
        <w:t>. 2nd ed. Cambridge: Cambridge University Press.</w:t>
      </w:r>
    </w:p>
    <w:p>
      <w:pPr>
        <w:spacing w:before="0" w:after="80" w:line="252" w:lineRule="auto"/>
        <w:jc w:val="both"/>
      </w:pPr>
      <w:r>
        <w:rPr>
          <w:rFonts w:ascii="Times New Roman" w:hAnsi="Times New Roman"/>
          <w:sz w:val="19"/>
        </w:rPr>
        <w:t xml:space="preserve">Wardman, M. 2004. Public transport values of time. </w:t>
      </w:r>
      <w:r>
        <w:rPr>
          <w:rFonts w:ascii="Times New Roman" w:hAnsi="Times New Roman"/>
          <w:i/>
          <w:sz w:val="19"/>
        </w:rPr>
        <w:t>Transport Policy</w:t>
      </w:r>
      <w:r>
        <w:rPr>
          <w:rFonts w:ascii="Times New Roman" w:hAnsi="Times New Roman"/>
          <w:sz w:val="19"/>
        </w:rPr>
        <w:t xml:space="preserve"> 11(4): 363–377. https://doi.org/10.1016/j.tranpol.2004.05.001</w:t>
      </w:r>
    </w:p>
    <w:sectPr w:rsidR="00FC693F" w:rsidRPr="0006063C" w:rsidSect="00034616">
      <w:pgSz w:w="11909" w:h="16834"/>
      <w:pgMar w:top="1440" w:right="1440" w:bottom="1440" w:left="1440" w:header="720" w:footer="720" w:gutter="0"/>
      <w:docGrid w:linePitch="360"/>
      <w:type w:val="continuous"/>
      <w:cols w:num="2"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