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color w:val="6E6E6E"/>
          <w:sz w:val="17"/>
        </w:rPr>
        <w:t>Jurnal Kejuruteraan (Journal of Engineering) Online First | ISSN: 0128-0198 E-ISSN: 2289-7526</w:t>
      </w:r>
    </w:p>
    <w:p>
      <w:pPr>
        <w:spacing w:before="280" w:after="240"/>
        <w:jc w:val="center"/>
      </w:pPr>
      <w:r>
        <w:rPr>
          <w:rFonts w:ascii="Times New Roman" w:hAnsi="Times New Roman"/>
          <w:b/>
          <w:color w:val="000000"/>
          <w:sz w:val="28"/>
        </w:rPr>
        <w:t>Pemodelan Pemilihan Moda dalam Jaringan Transportasi Publik Terintegrasi di Kota Palembang Menggunakan Multinomial Logit</w:t>
      </w:r>
    </w:p>
    <w:p>
      <w:pPr>
        <w:spacing w:before="200" w:after="120"/>
        <w:jc w:val="center"/>
      </w:pPr>
      <w:r>
        <w:rPr>
          <w:rFonts w:ascii="Times New Roman" w:hAnsi="Times New Roman"/>
          <w:b/>
          <w:color w:val="000000"/>
          <w:sz w:val="21"/>
        </w:rPr>
        <w:t>ABSTRAK</w:t>
      </w:r>
    </w:p>
    <w:p>
      <w:pPr>
        <w:spacing w:before="0" w:after="80" w:line="252" w:lineRule="auto"/>
        <w:jc w:val="both"/>
      </w:pPr>
      <w:r>
        <w:rPr>
          <w:rFonts w:ascii="Times New Roman" w:hAnsi="Times New Roman"/>
          <w:sz w:val="20"/>
        </w:rPr>
        <w:t>Integrasi layanan tidak otomatis meningkatkan penggunaan transportasi publik apabila karakteristik alternatif yang dipertimbangkan pelaku perjalanan belum dipahami. Penelitian ini menganalisis pemilihan moda dalam jaringan LRT Sumsel, Teman Bus, dan Angkot Feeder di Kota Palembang menggunakan model logit multinomial. Survei dilaksanakan pada 1 Agustus–16 September 2026 terhadap 400 responden yang berdomisili dan rutin beraktivitas di Palembang serta mengetahui pilihan transportasi setempat. Setiap responden menentukan asal–tujuan perjalanan rutinnya; aplikasi kemudian membentuk alternatif transportasi publik, kendaraan pribadi, dan transportasi nonpublik berbayar dengan atribut waktu, biaya, transfer, jarak akses, kenyamanan, dan keandalan. Setelah audit, penggabungan alternatif identik, serta eksklusi pilihan tunggal dan nilai ekstrem, 318 observasi digunakan dalam estimasi. Model dengan konstanta spesifik alternatif kendaraan pribadi memberikan kecocokan lebih baik daripada model dasar (McFadden ρ² 0.0514; AIC 518.10). Keandalan berpengaruh positif dan signifikan (β=0.353; p&lt;0.05), sedangkan konstanta kendaraan pribadi juga positif dan signifikan (β=0.610; p&lt;0.05), yang menunjukkan kecenderungan dasar terhadap kendaraan pribadi di luar atribut terukur. Jarak akses bertanda positif dan signifikan tetapi berlawanan dengan ekspektasi teoritis sehingga tidak ditafsirkan secara kausal. Waktu, biaya, dan transfer tidak signifikan; penghapusan transfer tidak menurunkan kecocokan secara signifikan (p=0.3790). Hasil menegaskan pentingnya keandalan layanan dan faktor preferensi yang belum teramati, sekaligus menunjukkan bahwa parameter sistem dan pilihan yang diniatkan perlu divalidasi dengan data operasi serta perjalanan yang direalisasikan sebelum model digunakan untuk rekomendasi kebijakan atau personalisasi aplikasi.</w:t>
      </w:r>
    </w:p>
    <w:p>
      <w:pPr>
        <w:spacing w:before="80" w:after="280"/>
      </w:pPr>
      <w:r>
        <w:rPr>
          <w:rFonts w:ascii="Times New Roman" w:hAnsi="Times New Roman"/>
          <w:sz w:val="19"/>
        </w:rPr>
      </w:r>
      <w:r>
        <w:rPr>
          <w:rFonts w:ascii="Times New Roman" w:hAnsi="Times New Roman"/>
          <w:b/>
          <w:sz w:val="19"/>
        </w:rPr>
        <w:t>Kata kunci:</w:t>
      </w:r>
      <w:r>
        <w:rPr>
          <w:rFonts w:ascii="Times New Roman" w:hAnsi="Times New Roman"/>
          <w:sz w:val="19"/>
        </w:rPr>
        <w:t xml:space="preserve"> pemilihan moda; logit multinomial; transportasi publik terintegrasi; keandalan; Palembang</w:t>
      </w:r>
    </w:p>
    <w:p>
      <w:pPr>
        <w:sectPr>
          <w:pgSz w:w="11909" w:h="16834"/>
          <w:pgMar w:top="1440" w:right="1440" w:bottom="1440" w:left="1440" w:header="720" w:footer="720" w:gutter="0"/>
          <w:docGrid w:linePitch="360"/>
          <w:cols w:num="1" w:space="708"/>
        </w:sectPr>
      </w:pPr>
    </w:p>
    <w:p>
      <w:pPr>
        <w:keepNext/>
        <w:spacing w:before="240" w:after="80"/>
        <w:jc w:val="center"/>
      </w:pPr>
      <w:r>
        <w:rPr>
          <w:rFonts w:ascii="Times New Roman" w:hAnsi="Times New Roman"/>
          <w:b/>
          <w:color w:val="000000"/>
          <w:sz w:val="20"/>
        </w:rPr>
        <w:t>PENDAHULUAN</w:t>
      </w:r>
    </w:p>
    <w:p>
      <w:pPr>
        <w:spacing w:before="0" w:after="80" w:line="252" w:lineRule="auto"/>
        <w:jc w:val="both"/>
      </w:pPr>
      <w:r>
        <w:rPr>
          <w:rFonts w:ascii="Times New Roman" w:hAnsi="Times New Roman"/>
          <w:sz w:val="19"/>
        </w:rPr>
        <w:t>Sistem transportasi publik perkotaan perlu menyediakan konektivitas dan kualitas layanan yang mampu bersaing dengan kendaraan pribadi. Di Kota Palembang, LRT Sumsel, Teman Bus, dan Angkot Feeder membentuk jaringan yang memungkinkan perjalanan antarmoda. Ketersediaan jaringan, bagaimanapun, belum menjelaskan bagaimana pengguna menilai waktu, biaya, perpindahan, akses, kenyamanan, dan keandalan ketika memilih moda. Analisis perilaku diperlukan agar investasi integrasi layanan tidak berhenti pada penyediaan infrastruktur.</w:t>
      </w:r>
    </w:p>
    <w:p>
      <w:pPr>
        <w:spacing w:before="0" w:after="80" w:line="252" w:lineRule="auto"/>
        <w:jc w:val="both"/>
      </w:pPr>
      <w:r>
        <w:rPr>
          <w:rFonts w:ascii="Times New Roman" w:hAnsi="Times New Roman"/>
          <w:sz w:val="19"/>
        </w:rPr>
        <w:t>Kerangka utilitas acak memodelkan pilihan sebagai hasil perbandingan utilitas alternatif (McFadden 1974; Ben-Akiva &amp; Lerman 1985). Multinomial Logit (MNL) banyak digunakan karena probabilitas pilihan dapat dihubungkan langsung dengan atribut alternatif dan parameternya dapat diestimasi melalui maximum likelihood (Train 2009). Dalam konteks perjalanan, waktu dan biaya lazim diharapkan menurunkan utilitas, sementara kenyamanan dan keandalan diharapkan meningkatkannya. Nilai akses dan transfer juga penting karena waktu di luar kendaraan sering dihargai berbeda dari waktu di dalam kendaraan (Wardman 2004), sedangkan ketidakpastian waktu perjalanan dapat menimbulkan disutilitas tersendiri (Bates et al. 2001).</w:t>
      </w:r>
    </w:p>
    <w:p>
      <w:pPr>
        <w:spacing w:before="0" w:after="80" w:line="252" w:lineRule="auto"/>
        <w:jc w:val="both"/>
      </w:pPr>
      <w:r>
        <w:rPr>
          <w:rFonts w:ascii="Times New Roman" w:hAnsi="Times New Roman"/>
          <w:sz w:val="19"/>
        </w:rPr>
        <w:t>Model sederhana tetap memiliki keterbatasan. Respons terhadap atribut dapat berbeda antarindividu (Bhat 1998), dan konstanta spesifik alternatif diperlukan untuk menangkap kecenderungan dasar yang tidak direpresentasikan oleh atribut terukur (Ben-Akiva &amp; Lerman 1985). Selain itu, pilihan yang dinyatakan sebelum perjalanan tidak identik dengan perilaku yang telah diwujudkan; konteks pilihan dan realisme skenario harus dinyatakan secara transparan (Louviere et al. 2000).</w:t>
      </w:r>
    </w:p>
    <w:p>
      <w:pPr>
        <w:spacing w:before="0" w:after="80" w:line="252" w:lineRule="auto"/>
        <w:jc w:val="both"/>
      </w:pPr>
      <w:r>
        <w:rPr>
          <w:rFonts w:ascii="Times New Roman" w:hAnsi="Times New Roman"/>
          <w:sz w:val="19"/>
        </w:rPr>
        <w:t>Penelitian ini menggunakan aplikasi pencarian rute sebagai instrumen pembentuk choice set untuk asal–tujuan rutin yang ditentukan sendiri oleh responden. Mesin Dijkstra (Dijkstra 1959) hanya berfungsi membangkitkan alternatif; kontribusi utama penelitian adalah estimasi determinan pemilihan moda. Tujuannya ialah: (1) mendeskripsikan pola pilihan antarkelompok moda; (2) mengestimasi MNL dasar dan MNL dengan alternative-specific constant (ASC) kendaraan pribadi; dan (3) menilai ketahanan hasil melalui spesifikasi tereduksi dan sensitivitas sampel.</w:t>
      </w:r>
    </w:p>
    <w:p>
      <w:pPr>
        <w:keepNext/>
        <w:spacing w:before="240" w:after="80"/>
        <w:jc w:val="center"/>
      </w:pPr>
      <w:r>
        <w:rPr>
          <w:rFonts w:ascii="Times New Roman" w:hAnsi="Times New Roman"/>
          <w:b/>
          <w:color w:val="000000"/>
          <w:sz w:val="20"/>
        </w:rPr>
        <w:t>METODOLOGI</w:t>
      </w:r>
    </w:p>
    <w:p>
      <w:pPr>
        <w:keepNext/>
        <w:spacing w:before="160" w:after="40"/>
        <w:jc w:val="left"/>
      </w:pPr>
      <w:r>
        <w:rPr>
          <w:rFonts w:ascii="Times New Roman" w:hAnsi="Times New Roman"/>
          <w:b/>
          <w:color w:val="000000"/>
          <w:sz w:val="19"/>
        </w:rPr>
        <w:t>Konteks Studi dan Jaringan Transportasi</w:t>
      </w:r>
    </w:p>
    <w:p>
      <w:pPr>
        <w:spacing w:before="0" w:after="80" w:line="252" w:lineRule="auto"/>
        <w:jc w:val="both"/>
      </w:pPr>
      <w:r>
        <w:rPr>
          <w:rFonts w:ascii="Times New Roman" w:hAnsi="Times New Roman"/>
          <w:sz w:val="19"/>
        </w:rPr>
        <w:t>Konteks studi adalah perjalanan rutin di Kota Palembang. Jaringan aplikasi mencakup delapan koridor Angkot Feeder, dua koridor Teman Bus, dan LRT Sumsel. Alternatif dikelompokkan menjadi transportasi publik, kendaraan pribadi, serta transportasi nonpublik berbayar. Kategori terakhir mencakup layanan berbasis permintaan atau sewaan di luar jaringan transportasi publik dan tidak disamakan dengan kendaraan pribadi.</w:t>
      </w:r>
    </w:p>
    <w:p>
      <w:pPr>
        <w:keepNext/>
        <w:spacing w:before="160" w:after="40"/>
        <w:jc w:val="left"/>
      </w:pPr>
      <w:r>
        <w:rPr>
          <w:rFonts w:ascii="Times New Roman" w:hAnsi="Times New Roman"/>
          <w:b/>
          <w:color w:val="000000"/>
          <w:sz w:val="19"/>
        </w:rPr>
        <w:t>Pembentukan Choice Set oleh Aplikasi</w:t>
      </w:r>
    </w:p>
    <w:p>
      <w:pPr>
        <w:spacing w:before="0" w:after="80" w:line="252" w:lineRule="auto"/>
        <w:jc w:val="both"/>
      </w:pPr>
      <w:r>
        <w:rPr>
          <w:rFonts w:ascii="Times New Roman" w:hAnsi="Times New Roman"/>
          <w:sz w:val="19"/>
        </w:rPr>
        <w:t>Responden menentukan sendiri titik asal dan tujuan yang mewakili aktivitas rutinnya. Waktu keberangkatan ditetapkan otomatis sesuai waktu pengisian atau wawancara. Aplikasi menghubungkan titik tersebut dengan jaringan, menjalankan Dijkstra, menghitung segmen akses dan transfer, lalu menyajikan beberapa alternatif. Setiap alternatif membawa enam atribut yang sama. Responden memilih satu alternatif yang paling disukai sebelum perjalanan; realisasi setelah pilihan tidak diverifikasi.</w:t>
      </w:r>
    </w:p>
    <w:p>
      <w:pPr>
        <w:sectPr>
          <w:pgSz w:w="11909" w:h="16834"/>
          <w:pgMar w:top="1440" w:right="1440" w:bottom="1440" w:left="1440" w:header="720" w:footer="720" w:gutter="0"/>
          <w:docGrid w:linePitch="360"/>
          <w:type w:val="continuous"/>
          <w:cols w:num="2" w:space="708"/>
        </w:sectPr>
      </w:pPr>
    </w:p>
    <w:p>
      <w:pPr>
        <w:keepNext/>
        <w:spacing w:before="160" w:after="40"/>
        <w:jc w:val="center"/>
      </w:pPr>
      <w:r>
        <w:drawing>
          <wp:inline xmlns:a="http://schemas.openxmlformats.org/drawingml/2006/main" xmlns:pic="http://schemas.openxmlformats.org/drawingml/2006/picture">
            <wp:extent cx="5486400" cy="5084556"/>
            <wp:docPr id="1" name="Picture 1"/>
            <wp:cNvGraphicFramePr>
              <a:graphicFrameLocks noChangeAspect="1"/>
            </wp:cNvGraphicFramePr>
            <a:graphic>
              <a:graphicData uri="http://schemas.openxmlformats.org/drawingml/2006/picture">
                <pic:pic>
                  <pic:nvPicPr>
                    <pic:cNvPr id="0" name="figure_01_alur_penelitian.png"/>
                    <pic:cNvPicPr/>
                  </pic:nvPicPr>
                  <pic:blipFill>
                    <a:blip r:embed="rId9"/>
                    <a:stretch>
                      <a:fillRect/>
                    </a:stretch>
                  </pic:blipFill>
                  <pic:spPr>
                    <a:xfrm>
                      <a:off x="0" y="0"/>
                      <a:ext cx="5486400" cy="5084556"/>
                    </a:xfrm>
                    <a:prstGeom prst="rect"/>
                  </pic:spPr>
                </pic:pic>
              </a:graphicData>
            </a:graphic>
          </wp:inline>
        </w:drawing>
      </w:r>
    </w:p>
    <w:p>
      <w:pPr>
        <w:keepNext w:val="0"/>
        <w:spacing w:before="40" w:after="160"/>
        <w:jc w:val="center"/>
      </w:pPr>
      <w:r>
        <w:rPr>
          <w:rFonts w:ascii="Times New Roman" w:hAnsi="Times New Roman"/>
          <w:b/>
          <w:color w:val="000000"/>
          <w:sz w:val="18"/>
        </w:rPr>
        <w:t>GAMBAR 1. Alur pembentukan alternatif, pengumpulan pilihan, audit data, dan estimasi MNL</w:t>
      </w:r>
    </w:p>
    <w:p>
      <w:pPr>
        <w:sectPr>
          <w:pgSz w:w="11909" w:h="16834"/>
          <w:pgMar w:top="1440" w:right="1440" w:bottom="1440" w:left="1440" w:header="720" w:footer="720" w:gutter="0"/>
          <w:docGrid w:linePitch="360"/>
          <w:type w:val="continuous"/>
          <w:cols w:num="1" w:space="708"/>
        </w:sectPr>
      </w:pPr>
    </w:p>
    <w:p>
      <w:pPr>
        <w:keepNext/>
        <w:spacing w:before="160" w:after="40"/>
        <w:jc w:val="left"/>
      </w:pPr>
      <w:r>
        <w:rPr>
          <w:rFonts w:ascii="Times New Roman" w:hAnsi="Times New Roman"/>
          <w:b/>
          <w:color w:val="000000"/>
          <w:sz w:val="19"/>
        </w:rPr>
        <w:t>Desain Survei dan Pengumpulan Data</w:t>
      </w:r>
    </w:p>
    <w:p>
      <w:pPr>
        <w:spacing w:before="0" w:after="80" w:line="252" w:lineRule="auto"/>
        <w:jc w:val="both"/>
      </w:pPr>
      <w:r>
        <w:rPr>
          <w:rFonts w:ascii="Times New Roman" w:hAnsi="Times New Roman"/>
          <w:sz w:val="19"/>
        </w:rPr>
        <w:t>Survei dilakukan 1 Agustus–16 September 2026 menggunakan non-probability convenience sampling. Kriteria inklusi ialah berdomisili dan rutin beraktivitas di Kota Palembang serta mengetahui pilihan transportasi di Palembang. Instrumen disampaikan melalui wawancara langsung kepada warga umum, jaringan mahasiswa, dan media sosial. Dalam wawancara, enumerator membacakan dan menjelaskan pertanyaan serta urutan alternatif yang sama seperti aplikasi secara netral tanpa menyarankan pilihan. Partisipasi bersifat sukarela, persetujuan diperoleh sebelum pengisian, dan data dicatat secara anonim.</w:t>
      </w:r>
    </w:p>
    <w:p>
      <w:pPr>
        <w:keepNext/>
        <w:spacing w:before="160" w:after="40"/>
        <w:jc w:val="left"/>
      </w:pPr>
      <w:r>
        <w:rPr>
          <w:rFonts w:ascii="Times New Roman" w:hAnsi="Times New Roman"/>
          <w:b/>
          <w:color w:val="000000"/>
          <w:sz w:val="19"/>
        </w:rPr>
        <w:t>Variabel</w:t>
      </w:r>
    </w:p>
    <w:p>
      <w:pPr>
        <w:keepNext/>
        <w:spacing w:before="40" w:after="160"/>
        <w:jc w:val="center"/>
      </w:pPr>
      <w:r>
        <w:rPr>
          <w:rFonts w:ascii="Times New Roman" w:hAnsi="Times New Roman"/>
          <w:b/>
          <w:color w:val="000000"/>
          <w:sz w:val="18"/>
        </w:rPr>
        <w:t>TABEL 1. Definisi variabel model</w:t>
      </w:r>
    </w:p>
    <w:tbl>
      <w:tblPr>
        <w:tblW w:type="auto" w:w="0"/>
        <w:jc w:val="center"/>
        <w:tblLayout w:type="fixed"/>
        <w:tblLook w:firstColumn="1" w:firstRow="1" w:lastColumn="0" w:lastRow="0" w:noHBand="0" w:noVBand="1" w:val="04A0"/>
      </w:tblPr>
      <w:tblGrid>
        <w:gridCol w:w="1440"/>
        <w:gridCol w:w="1368"/>
        <w:gridCol w:w="1368"/>
      </w:tblGrid>
      <w:tr>
        <w:trPr>
          <w:trHeight w:val="320"/>
        </w:trPr>
        <w:tc>
          <w:tcPr>
            <w:tcW w:type="dxa" w:w="1440"/>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Variabel</w:t>
            </w:r>
          </w:p>
        </w:tc>
        <w:tc>
          <w:tcPr>
            <w:tcW w:type="dxa" w:w="1368"/>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Definisi dan satuan</w:t>
            </w:r>
          </w:p>
        </w:tc>
        <w:tc>
          <w:tcPr>
            <w:tcW w:type="dxa" w:w="1368"/>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Dugaan tanda</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Waktu</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Total waktu perjalanan, menit</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Biaya</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Total biaya perjalanan, rupiah</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Transfer</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Jumlah pergantian kendaraan</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Jarak akses</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Jarak first/last-mile, km</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Kenyamanan</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Skor sistem 0–5</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Keandalan</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Skor sistem 0–5</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w:t>
            </w:r>
          </w:p>
        </w:tc>
      </w:tr>
      <w:tr>
        <w:trPr>
          <w:trHeight w:val="280"/>
        </w:trPr>
        <w:tc>
          <w:tcPr>
            <w:tcW w:type="dxa" w:w="1440"/>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6"/>
              </w:rPr>
              <w:t>ASC kendaraan pribadi</w:t>
            </w:r>
          </w:p>
        </w:tc>
        <w:tc>
          <w:tcPr>
            <w:tcW w:type="dxa" w:w="1368"/>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6"/>
              </w:rPr>
              <w:t>Indikator kendaraan pribadi</w:t>
            </w:r>
          </w:p>
        </w:tc>
        <w:tc>
          <w:tcPr>
            <w:tcW w:type="dxa" w:w="1368"/>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6"/>
              </w:rPr>
              <w:t>Tidak ditentukan</w:t>
            </w:r>
          </w:p>
        </w:tc>
      </w:tr>
    </w:tbl>
    <w:p>
      <w:pPr>
        <w:spacing w:before="0" w:after="80"/>
      </w:pPr>
    </w:p>
    <w:p>
      <w:pPr>
        <w:spacing w:before="0" w:after="80" w:line="252" w:lineRule="auto"/>
        <w:jc w:val="both"/>
      </w:pPr>
      <w:r>
        <w:rPr>
          <w:rFonts w:ascii="Times New Roman" w:hAnsi="Times New Roman"/>
          <w:sz w:val="19"/>
        </w:rPr>
        <w:t>Skor kenyamanan dan keandalan merupakan parameter sistem per moda, bukan pengukuran objektif lapangan. Karena itu, keduanya diperlakukan sebagai proksi dan dibahas sebagai keterbatasan.</w:t>
      </w:r>
    </w:p>
    <w:p>
      <w:pPr>
        <w:keepNext/>
        <w:spacing w:before="40" w:after="160"/>
        <w:jc w:val="center"/>
      </w:pPr>
      <w:r>
        <w:rPr>
          <w:rFonts w:ascii="Times New Roman" w:hAnsi="Times New Roman"/>
          <w:b/>
          <w:color w:val="000000"/>
          <w:sz w:val="18"/>
        </w:rPr>
        <w:t>TABEL 2. Karakteristik 318 responden dalam sampel analisis</w:t>
      </w:r>
    </w:p>
    <w:tbl>
      <w:tblPr>
        <w:tblW w:type="auto" w:w="0"/>
        <w:jc w:val="center"/>
        <w:tblLayout w:type="fixed"/>
        <w:tblLook w:firstColumn="1" w:firstRow="1" w:lastColumn="0" w:lastRow="0" w:noHBand="0" w:noVBand="1" w:val="04A0"/>
      </w:tblPr>
      <w:tblGrid>
        <w:gridCol w:w="1440"/>
        <w:gridCol w:w="1368"/>
        <w:gridCol w:w="1368"/>
      </w:tblGrid>
      <w:tr>
        <w:trPr>
          <w:trHeight w:val="320"/>
        </w:trPr>
        <w:tc>
          <w:tcPr>
            <w:tcW w:type="dxa" w:w="1440"/>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Karakteristik</w:t>
            </w:r>
          </w:p>
        </w:tc>
        <w:tc>
          <w:tcPr>
            <w:tcW w:type="dxa" w:w="1368"/>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Kategori dominan</w:t>
            </w:r>
          </w:p>
        </w:tc>
        <w:tc>
          <w:tcPr>
            <w:tcW w:type="dxa" w:w="1368"/>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n (%)</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Jenis kelamin</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Perempuan</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157 (49.4)</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Pekerjaan</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Pelajar/mahasiswa</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204 (64.2)</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Pendapatan</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&lt;Rp1 juta/bulan</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142 (44.7)</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Kepemilikan kendaraan</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Motor</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164 (51.6)</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Tujuan perjalanan</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Sekolah/kuliah</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164 (51.6)</w:t>
            </w:r>
          </w:p>
        </w:tc>
      </w:tr>
      <w:tr>
        <w:trPr>
          <w:trHeight w:val="280"/>
        </w:trPr>
        <w:tc>
          <w:tcPr>
            <w:tcW w:type="dxa" w:w="1440"/>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6"/>
              </w:rPr>
              <w:t>Frekuensi angkutan umum</w:t>
            </w:r>
          </w:p>
        </w:tc>
        <w:tc>
          <w:tcPr>
            <w:tcW w:type="dxa" w:w="1368"/>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6"/>
              </w:rPr>
              <w:t>Beberapa kali seminggu</w:t>
            </w:r>
          </w:p>
        </w:tc>
        <w:tc>
          <w:tcPr>
            <w:tcW w:type="dxa" w:w="1368"/>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6"/>
              </w:rPr>
              <w:t>116 (36.5)</w:t>
            </w:r>
          </w:p>
        </w:tc>
      </w:tr>
    </w:tbl>
    <w:p>
      <w:pPr>
        <w:spacing w:before="0" w:after="80"/>
      </w:pPr>
    </w:p>
    <w:p>
      <w:pPr>
        <w:spacing w:before="0" w:after="80" w:line="252" w:lineRule="auto"/>
        <w:jc w:val="both"/>
      </w:pPr>
      <w:r>
        <w:rPr>
          <w:rFonts w:ascii="Times New Roman" w:hAnsi="Times New Roman"/>
          <w:sz w:val="19"/>
        </w:rPr>
        <w:t>Delapan observasi tidak memiliki profil lengkap; persentase pada tabel menggunakan seluruh sampel analisis sebagai penyebut.</w:t>
      </w:r>
    </w:p>
    <w:p>
      <w:pPr>
        <w:keepNext/>
        <w:spacing w:before="160" w:after="40"/>
        <w:jc w:val="left"/>
      </w:pPr>
      <w:r>
        <w:rPr>
          <w:rFonts w:ascii="Times New Roman" w:hAnsi="Times New Roman"/>
          <w:b/>
          <w:color w:val="000000"/>
          <w:sz w:val="19"/>
        </w:rPr>
        <w:t>Audit dan Pembersihan Data</w:t>
      </w:r>
    </w:p>
    <w:p>
      <w:pPr>
        <w:spacing w:before="0" w:after="80" w:line="252" w:lineRule="auto"/>
        <w:jc w:val="both"/>
      </w:pPr>
      <w:r>
        <w:rPr>
          <w:rFonts w:ascii="Times New Roman" w:hAnsi="Times New Roman"/>
          <w:sz w:val="19"/>
        </w:rPr>
        <w:t>CSV sumber memuat 400 observasi dari 400 responden unik. Alternatif dengan enam atribut identik dalam choice set digabung karena merepresentasikan perjalanan yang sama meskipun label antarmuka berbeda. Choice set dengan kurang dari dua alternatif unik dikeluarkan. Observasi juga dikeluarkan bila waktu melebihi 1,000 menit atau biaya melebihi Rp100,000, batas konservatif yang memisahkan kelompok anomali secara jelas dari distribusi lainnya. Setiap observasi final harus memiliki tepat satu pilihan.</w:t>
      </w:r>
    </w:p>
    <w:p>
      <w:pPr>
        <w:keepNext/>
        <w:spacing w:before="40" w:after="160"/>
        <w:jc w:val="center"/>
      </w:pPr>
      <w:r>
        <w:rPr>
          <w:rFonts w:ascii="Times New Roman" w:hAnsi="Times New Roman"/>
          <w:b/>
          <w:color w:val="000000"/>
          <w:sz w:val="18"/>
        </w:rPr>
        <w:t>TABEL 3. Alur pembentukan sampel analisis</w:t>
      </w:r>
    </w:p>
    <w:tbl>
      <w:tblPr>
        <w:tblW w:type="auto" w:w="0"/>
        <w:jc w:val="center"/>
        <w:tblLayout w:type="fixed"/>
        <w:tblLook w:firstColumn="1" w:firstRow="1" w:lastColumn="0" w:lastRow="0" w:noHBand="0" w:noVBand="1" w:val="04A0"/>
      </w:tblPr>
      <w:tblGrid>
        <w:gridCol w:w="2448"/>
        <w:gridCol w:w="1728"/>
      </w:tblGrid>
      <w:tr>
        <w:trPr>
          <w:trHeight w:val="320"/>
        </w:trPr>
        <w:tc>
          <w:tcPr>
            <w:tcW w:type="dxa" w:w="2448"/>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Tahap</w:t>
            </w:r>
          </w:p>
        </w:tc>
        <w:tc>
          <w:tcPr>
            <w:tcW w:type="dxa" w:w="1728"/>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Observasi</w:t>
            </w:r>
          </w:p>
        </w:tc>
      </w:tr>
      <w:tr>
        <w:trPr>
          <w:trHeight w:val="280"/>
        </w:trPr>
        <w:tc>
          <w:tcPr>
            <w:tcW w:type="dxa" w:w="244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Data sumber</w:t>
            </w:r>
          </w:p>
        </w:tc>
        <w:tc>
          <w:tcPr>
            <w:tcW w:type="dxa" w:w="172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400</w:t>
            </w:r>
          </w:p>
        </w:tc>
      </w:tr>
      <w:tr>
        <w:trPr>
          <w:trHeight w:val="280"/>
        </w:trPr>
        <w:tc>
          <w:tcPr>
            <w:tcW w:type="dxa" w:w="244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Dikeluarkan: nilai ekstrem</w:t>
            </w:r>
          </w:p>
        </w:tc>
        <w:tc>
          <w:tcPr>
            <w:tcW w:type="dxa" w:w="172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22</w:t>
            </w:r>
          </w:p>
        </w:tc>
      </w:tr>
      <w:tr>
        <w:trPr>
          <w:trHeight w:val="280"/>
        </w:trPr>
        <w:tc>
          <w:tcPr>
            <w:tcW w:type="dxa" w:w="244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Dikeluarkan: &lt;2 alternatif unik</w:t>
            </w:r>
          </w:p>
        </w:tc>
        <w:tc>
          <w:tcPr>
            <w:tcW w:type="dxa" w:w="172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60</w:t>
            </w:r>
          </w:p>
        </w:tc>
      </w:tr>
      <w:tr>
        <w:trPr>
          <w:trHeight w:val="280"/>
        </w:trPr>
        <w:tc>
          <w:tcPr>
            <w:tcW w:type="dxa" w:w="2448"/>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6"/>
              </w:rPr>
              <w:t>Sampel analisis final</w:t>
            </w:r>
          </w:p>
        </w:tc>
        <w:tc>
          <w:tcPr>
            <w:tcW w:type="dxa" w:w="1728"/>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6"/>
              </w:rPr>
              <w:t>318</w:t>
            </w:r>
          </w:p>
        </w:tc>
      </w:tr>
    </w:tbl>
    <w:p>
      <w:pPr>
        <w:spacing w:before="0" w:after="80"/>
      </w:pPr>
    </w:p>
    <w:p>
      <w:pPr>
        <w:spacing w:before="0" w:after="80" w:line="252" w:lineRule="auto"/>
        <w:jc w:val="both"/>
      </w:pPr>
      <w:r>
        <w:rPr>
          <w:rFonts w:ascii="Times New Roman" w:hAnsi="Times New Roman"/>
          <w:sz w:val="19"/>
        </w:rPr>
        <w:t>Sebanyak 136 baris alternatif duplikat digabung, menghasilkan 748 baris alternatif final. Checksum SHA-256 sumber adalah `93fcf7d061e8e294f2ebefd8dc8a52b7b5632484085b960e30820fc615219c2a`.</w:t>
      </w:r>
    </w:p>
    <w:p>
      <w:pPr>
        <w:keepNext/>
        <w:spacing w:before="160" w:after="40"/>
        <w:jc w:val="left"/>
      </w:pPr>
      <w:r>
        <w:rPr>
          <w:rFonts w:ascii="Times New Roman" w:hAnsi="Times New Roman"/>
          <w:b/>
          <w:color w:val="000000"/>
          <w:sz w:val="19"/>
        </w:rPr>
        <w:t>Spesifikasi MNL</w:t>
      </w:r>
    </w:p>
    <w:p>
      <w:pPr>
        <w:spacing w:before="0" w:after="80" w:line="252" w:lineRule="auto"/>
        <w:jc w:val="both"/>
      </w:pPr>
      <w:r>
        <w:rPr>
          <w:rFonts w:ascii="Times New Roman" w:hAnsi="Times New Roman"/>
          <w:sz w:val="19"/>
        </w:rPr>
        <w:t xml:space="preserve">Utilitas alternatif </w:t>
      </w:r>
      <w:r>
        <w:rPr>
          <w:rFonts w:ascii="Times New Roman" w:hAnsi="Times New Roman"/>
          <w:i/>
          <w:sz w:val="19"/>
        </w:rPr>
        <w:t>j</w:t>
      </w:r>
      <w:r>
        <w:rPr>
          <w:rFonts w:ascii="Times New Roman" w:hAnsi="Times New Roman"/>
          <w:sz w:val="19"/>
        </w:rPr>
        <w:t xml:space="preserve"> bagi responden </w:t>
      </w:r>
      <w:r>
        <w:rPr>
          <w:rFonts w:ascii="Times New Roman" w:hAnsi="Times New Roman"/>
          <w:i/>
          <w:sz w:val="19"/>
        </w:rPr>
        <w:t>i</w:t>
      </w:r>
      <w:r>
        <w:rPr>
          <w:rFonts w:ascii="Times New Roman" w:hAnsi="Times New Roman"/>
          <w:sz w:val="19"/>
        </w:rPr>
        <w:t xml:space="preserve"> dirumuskan sebagai:</w:t>
      </w:r>
    </w:p>
    <w:p>
      <w:pPr>
        <w:spacing w:before="80" w:after="80"/>
        <w:jc w:val="center"/>
      </w:pPr>
      <w:r>
        <w:rPr>
          <w:rFonts w:ascii="Times New Roman" w:hAnsi="Times New Roman"/>
          <w:i/>
          <w:sz w:val="18"/>
        </w:rPr>
        <w:t>U_{ij}=\beta_{time}Time_{ij}+\beta_{cost}Cost_{ij}+\beta_{transfer}Transfer_{ij}+\beta_{access}Access_{ij}+\beta_{comfort}Comfort_{ij}+\beta_{reliability}Reliability_{ij}.</w:t>
      </w:r>
    </w:p>
    <w:p>
      <w:pPr>
        <w:spacing w:before="0" w:after="80" w:line="252" w:lineRule="auto"/>
        <w:jc w:val="both"/>
      </w:pPr>
      <w:r>
        <w:rPr>
          <w:rFonts w:ascii="Times New Roman" w:hAnsi="Times New Roman"/>
          <w:sz w:val="19"/>
        </w:rPr>
        <w:t>Probabilitas MNL adalah:</w:t>
      </w:r>
    </w:p>
    <w:p>
      <w:pPr>
        <w:spacing w:before="80" w:after="80"/>
        <w:jc w:val="center"/>
      </w:pPr>
      <w:r>
        <w:rPr>
          <w:rFonts w:ascii="Times New Roman" w:hAnsi="Times New Roman"/>
          <w:i/>
          <w:sz w:val="18"/>
        </w:rPr>
        <w:t>P_{ij}=\frac{\exp(U_{ij})}{\sum_m\exp(U_{im})}.</w:t>
      </w:r>
    </w:p>
    <w:p>
      <w:pPr>
        <w:spacing w:before="0" w:after="80" w:line="252" w:lineRule="auto"/>
        <w:jc w:val="both"/>
      </w:pPr>
      <w:r>
        <w:rPr>
          <w:rFonts w:ascii="Times New Roman" w:hAnsi="Times New Roman"/>
          <w:sz w:val="19"/>
        </w:rPr>
        <w:t>Model utama menambahkan \(\alpha_{private}I(private)_{ij}\), dengan transportasi publik sebagai kategori acuan. Parameter diestimasi menggunakan Newton–Raphson. Inferensi utama menggunakan standard error biasa karena setiap UUID final hanya menyumbang satu observasi. Kecocokan dinilai melalui log-likelihood, McFadden ρ², AIC, dan BIC.</w:t>
      </w:r>
    </w:p>
    <w:p>
      <w:pPr>
        <w:keepNext/>
        <w:spacing w:before="160" w:after="40"/>
        <w:jc w:val="left"/>
      </w:pPr>
      <w:r>
        <w:rPr>
          <w:rFonts w:ascii="Times New Roman" w:hAnsi="Times New Roman"/>
          <w:b/>
          <w:color w:val="000000"/>
          <w:sz w:val="19"/>
        </w:rPr>
        <w:t>Analisis Sensitivitas</w:t>
      </w:r>
    </w:p>
    <w:p>
      <w:pPr>
        <w:spacing w:before="0" w:after="80" w:line="252" w:lineRule="auto"/>
        <w:jc w:val="both"/>
      </w:pPr>
      <w:r>
        <w:rPr>
          <w:rFonts w:ascii="Times New Roman" w:hAnsi="Times New Roman"/>
          <w:sz w:val="19"/>
        </w:rPr>
        <w:t>Model utama dibandingkan dengan model tanpa jarak akses, tanpa transfer, tanpa keduanya, dan tanpa transportasi nonpublik berbayar. Likelihood-ratio test hanya digunakan untuk model tersarang dengan sampel sama. Model sensitivitas sampel tidak dibandingkan langsung menggunakan AIC/BIC dengan model sampel penuh.</w:t>
      </w:r>
    </w:p>
    <w:p>
      <w:pPr>
        <w:keepNext/>
        <w:spacing w:before="240" w:after="80"/>
        <w:jc w:val="center"/>
      </w:pPr>
      <w:r>
        <w:rPr>
          <w:rFonts w:ascii="Times New Roman" w:hAnsi="Times New Roman"/>
          <w:b/>
          <w:color w:val="000000"/>
          <w:sz w:val="20"/>
        </w:rPr>
        <w:t>HASIL DAN PEMBAHASAN</w:t>
      </w:r>
    </w:p>
    <w:p>
      <w:pPr>
        <w:keepNext/>
        <w:spacing w:before="160" w:after="40"/>
        <w:jc w:val="left"/>
      </w:pPr>
      <w:r>
        <w:rPr>
          <w:rFonts w:ascii="Times New Roman" w:hAnsi="Times New Roman"/>
          <w:b/>
          <w:color w:val="000000"/>
          <w:sz w:val="19"/>
        </w:rPr>
        <w:t>Sampel Analisis dan Pola Pilihan</w:t>
      </w:r>
    </w:p>
    <w:p>
      <w:pPr>
        <w:spacing w:before="0" w:after="80" w:line="252" w:lineRule="auto"/>
        <w:jc w:val="both"/>
      </w:pPr>
      <w:r>
        <w:rPr>
          <w:rFonts w:ascii="Times New Roman" w:hAnsi="Times New Roman"/>
          <w:sz w:val="19"/>
        </w:rPr>
        <w:t>Dari 318 pilihan final, 176 (55.3%) memilih transportasi publik, 136 (42.8%) kendaraan pribadi, dan 6 (1.9%) transportasi nonpublik berbayar. Distribusi ini menunjukkan bahwa pilihan publik merupakan mayoritas tipis, sementara kendaraan pribadi tetap kompetitif meskipun choice set dibentuk dalam konteks jaringan publik terintegrasi.</w:t>
      </w:r>
    </w:p>
    <w:p>
      <w:pPr>
        <w:keepNext/>
        <w:spacing w:before="160" w:after="40"/>
        <w:jc w:val="center"/>
      </w:pPr>
      <w:r>
        <w:drawing>
          <wp:inline xmlns:a="http://schemas.openxmlformats.org/drawingml/2006/main" xmlns:pic="http://schemas.openxmlformats.org/drawingml/2006/picture">
            <wp:extent cx="2606040" cy="1480262"/>
            <wp:docPr id="2" name="Picture 2"/>
            <wp:cNvGraphicFramePr>
              <a:graphicFrameLocks noChangeAspect="1"/>
            </wp:cNvGraphicFramePr>
            <a:graphic>
              <a:graphicData uri="http://schemas.openxmlformats.org/drawingml/2006/picture">
                <pic:pic>
                  <pic:nvPicPr>
                    <pic:cNvPr id="0" name="figure_02_distribusi_pilihan.png"/>
                    <pic:cNvPicPr/>
                  </pic:nvPicPr>
                  <pic:blipFill>
                    <a:blip r:embed="rId10"/>
                    <a:stretch>
                      <a:fillRect/>
                    </a:stretch>
                  </pic:blipFill>
                  <pic:spPr>
                    <a:xfrm>
                      <a:off x="0" y="0"/>
                      <a:ext cx="2606040" cy="1480262"/>
                    </a:xfrm>
                    <a:prstGeom prst="rect"/>
                  </pic:spPr>
                </pic:pic>
              </a:graphicData>
            </a:graphic>
          </wp:inline>
        </w:drawing>
      </w:r>
    </w:p>
    <w:p>
      <w:pPr>
        <w:keepNext w:val="0"/>
        <w:spacing w:before="40" w:after="160"/>
        <w:jc w:val="center"/>
      </w:pPr>
      <w:r>
        <w:rPr>
          <w:rFonts w:ascii="Times New Roman" w:hAnsi="Times New Roman"/>
          <w:b/>
          <w:color w:val="000000"/>
          <w:sz w:val="18"/>
        </w:rPr>
        <w:t>GAMBAR 2. Distribusi pilihan berdasarkan kelompok moda</w:t>
      </w:r>
    </w:p>
    <w:p>
      <w:pPr>
        <w:keepNext/>
        <w:spacing w:before="160" w:after="40"/>
        <w:jc w:val="left"/>
      </w:pPr>
      <w:r>
        <w:rPr>
          <w:rFonts w:ascii="Times New Roman" w:hAnsi="Times New Roman"/>
          <w:b/>
          <w:color w:val="000000"/>
          <w:sz w:val="19"/>
        </w:rPr>
        <w:t>Variasi dan Korelasi Atribut</w:t>
      </w:r>
    </w:p>
    <w:p>
      <w:pPr>
        <w:spacing w:before="0" w:after="80" w:line="252" w:lineRule="auto"/>
        <w:jc w:val="both"/>
      </w:pPr>
      <w:r>
        <w:rPr>
          <w:rFonts w:ascii="Times New Roman" w:hAnsi="Times New Roman"/>
          <w:sz w:val="19"/>
        </w:rPr>
        <w:t>Waktu dan keandalan bervariasi pada seluruh choice set; biaya dan kenyamanan pada 98.1%, jarak akses pada 95.6%, sedangkan transfer hanya pada 41.2%. Keterbatasan variasi transfer mengurangi informasi untuk mengidentifikasi parameternya. Korelasi waktu–transfer sebesar 0.606 dan transfer–kenyamanan sebesar −0.521 juga menunjukkan bahwa sebagian pengaruh atribut sulit dipisahkan.</w:t>
      </w:r>
    </w:p>
    <w:p>
      <w:pPr>
        <w:sectPr>
          <w:pgSz w:w="11909" w:h="16834"/>
          <w:pgMar w:top="1440" w:right="1440" w:bottom="1440" w:left="1440" w:header="720" w:footer="720" w:gutter="0"/>
          <w:docGrid w:linePitch="360"/>
          <w:type w:val="continuous"/>
          <w:cols w:num="2" w:space="708"/>
        </w:sectPr>
      </w:pPr>
    </w:p>
    <w:p>
      <w:pPr>
        <w:keepNext/>
        <w:spacing w:before="160" w:after="40"/>
        <w:jc w:val="center"/>
      </w:pPr>
      <w:r>
        <w:drawing>
          <wp:inline xmlns:a="http://schemas.openxmlformats.org/drawingml/2006/main" xmlns:pic="http://schemas.openxmlformats.org/drawingml/2006/picture">
            <wp:extent cx="5486400" cy="3936430"/>
            <wp:docPr id="3" name="Picture 3"/>
            <wp:cNvGraphicFramePr>
              <a:graphicFrameLocks noChangeAspect="1"/>
            </wp:cNvGraphicFramePr>
            <a:graphic>
              <a:graphicData uri="http://schemas.openxmlformats.org/drawingml/2006/picture">
                <pic:pic>
                  <pic:nvPicPr>
                    <pic:cNvPr id="0" name="figure_03_diagnostik_atribut.png"/>
                    <pic:cNvPicPr/>
                  </pic:nvPicPr>
                  <pic:blipFill>
                    <a:blip r:embed="rId11"/>
                    <a:stretch>
                      <a:fillRect/>
                    </a:stretch>
                  </pic:blipFill>
                  <pic:spPr>
                    <a:xfrm>
                      <a:off x="0" y="0"/>
                      <a:ext cx="5486400" cy="3936430"/>
                    </a:xfrm>
                    <a:prstGeom prst="rect"/>
                  </pic:spPr>
                </pic:pic>
              </a:graphicData>
            </a:graphic>
          </wp:inline>
        </w:drawing>
      </w:r>
    </w:p>
    <w:p>
      <w:pPr>
        <w:keepNext w:val="0"/>
        <w:spacing w:before="40" w:after="160"/>
        <w:jc w:val="center"/>
      </w:pPr>
      <w:r>
        <w:rPr>
          <w:rFonts w:ascii="Times New Roman" w:hAnsi="Times New Roman"/>
          <w:b/>
          <w:color w:val="000000"/>
          <w:sz w:val="18"/>
        </w:rPr>
        <w:t>GAMBAR 3. Variasi dalam choice set (Panel A) dan korelasi atribut (Panel B)</w:t>
      </w:r>
    </w:p>
    <w:p>
      <w:pPr>
        <w:sectPr>
          <w:pgSz w:w="11909" w:h="16834"/>
          <w:pgMar w:top="1440" w:right="1440" w:bottom="1440" w:left="1440" w:header="720" w:footer="720" w:gutter="0"/>
          <w:docGrid w:linePitch="360"/>
          <w:type w:val="continuous"/>
          <w:cols w:num="1" w:space="708"/>
        </w:sectPr>
      </w:pPr>
    </w:p>
    <w:p>
      <w:pPr>
        <w:keepNext/>
        <w:spacing w:before="160" w:after="40"/>
        <w:jc w:val="left"/>
      </w:pPr>
      <w:r>
        <w:rPr>
          <w:rFonts w:ascii="Times New Roman" w:hAnsi="Times New Roman"/>
          <w:b/>
          <w:color w:val="000000"/>
          <w:sz w:val="19"/>
        </w:rPr>
        <w:t>Hasil Estimasi MNL</w:t>
      </w:r>
    </w:p>
    <w:p>
      <w:pPr>
        <w:keepNext/>
        <w:spacing w:before="40" w:after="160"/>
        <w:jc w:val="center"/>
      </w:pPr>
      <w:r>
        <w:rPr>
          <w:rFonts w:ascii="Times New Roman" w:hAnsi="Times New Roman"/>
          <w:b/>
          <w:color w:val="000000"/>
          <w:sz w:val="18"/>
        </w:rPr>
        <w:t>TABEL 4. Estimasi model dasar dan model dengan ASC kendaraan pribadi</w:t>
      </w:r>
    </w:p>
    <w:tbl>
      <w:tblPr>
        <w:tblW w:type="auto" w:w="0"/>
        <w:jc w:val="center"/>
        <w:tblLayout w:type="fixed"/>
        <w:tblLook w:firstColumn="1" w:firstRow="1" w:lastColumn="0" w:lastRow="0" w:noHBand="0" w:noVBand="1" w:val="04A0"/>
      </w:tblPr>
      <w:tblGrid>
        <w:gridCol w:w="1440"/>
        <w:gridCol w:w="1368"/>
        <w:gridCol w:w="1368"/>
      </w:tblGrid>
      <w:tr>
        <w:trPr>
          <w:trHeight w:val="320"/>
        </w:trPr>
        <w:tc>
          <w:tcPr>
            <w:tcW w:type="dxa" w:w="1440"/>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Variabel</w:t>
            </w:r>
          </w:p>
        </w:tc>
        <w:tc>
          <w:tcPr>
            <w:tcW w:type="dxa" w:w="1368"/>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Model dasar β (SE)</w:t>
            </w:r>
          </w:p>
        </w:tc>
        <w:tc>
          <w:tcPr>
            <w:tcW w:type="dxa" w:w="1368"/>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6"/>
              </w:rPr>
              <w:t>MNL+ASC β (SE)</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Waktu</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−0.00693 (0.00841)</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−0.00239 (0.00861)</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Biaya</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−0.0000225 (0.0000174)</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−0.0000211 (0.0000179)</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Transfer</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0.240 (0.258)</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0.231 (0.263)</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Jarak akses</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0.336 (0.194)</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0.502</w:t>
            </w:r>
            <w:r>
              <w:rPr>
                <w:rFonts w:ascii="Times New Roman" w:hAnsi="Times New Roman"/>
                <w:i/>
                <w:color w:val="000000"/>
                <w:sz w:val="16"/>
              </w:rPr>
            </w:r>
            <w:r>
              <w:rPr>
                <w:rFonts w:ascii="Times New Roman" w:hAnsi="Times New Roman"/>
                <w:color w:val="000000"/>
                <w:sz w:val="16"/>
              </w:rPr>
              <w:t xml:space="preserve"> (0.214)</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Kenyamanan</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0.413</w:t>
            </w:r>
            <w:r>
              <w:rPr>
                <w:rFonts w:ascii="Times New Roman" w:hAnsi="Times New Roman"/>
                <w:i/>
                <w:color w:val="000000"/>
                <w:sz w:val="16"/>
              </w:rPr>
            </w:r>
            <w:r>
              <w:rPr>
                <w:rFonts w:ascii="Times New Roman" w:hAnsi="Times New Roman"/>
                <w:color w:val="000000"/>
                <w:sz w:val="16"/>
              </w:rPr>
              <w:t xml:space="preserve"> (0.164)</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0.255 (0.174)</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Keandalan</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0.118 (0.132)</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0.353</w:t>
            </w:r>
            <w:r>
              <w:rPr>
                <w:rFonts w:ascii="Times New Roman" w:hAnsi="Times New Roman"/>
                <w:i/>
                <w:color w:val="000000"/>
                <w:sz w:val="16"/>
              </w:rPr>
            </w:r>
            <w:r>
              <w:rPr>
                <w:rFonts w:ascii="Times New Roman" w:hAnsi="Times New Roman"/>
                <w:color w:val="000000"/>
                <w:sz w:val="16"/>
              </w:rPr>
              <w:t xml:space="preserve"> (0.166)</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ASC kendaraan pribadi</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0.610</w:t>
            </w:r>
            <w:r>
              <w:rPr>
                <w:rFonts w:ascii="Times New Roman" w:hAnsi="Times New Roman"/>
                <w:i/>
                <w:color w:val="000000"/>
                <w:sz w:val="16"/>
              </w:rPr>
            </w:r>
            <w:r>
              <w:rPr>
                <w:rFonts w:ascii="Times New Roman" w:hAnsi="Times New Roman"/>
                <w:color w:val="000000"/>
                <w:sz w:val="16"/>
              </w:rPr>
              <w:t xml:space="preserve"> (0.247)</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Log-likelihood</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−255.166</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−252.049</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McFadden ρ²</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0.0397</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0.0514</w:t>
            </w:r>
          </w:p>
        </w:tc>
      </w:tr>
      <w:tr>
        <w:trPr>
          <w:trHeight w:val="280"/>
        </w:trPr>
        <w:tc>
          <w:tcPr>
            <w:tcW w:type="dxa" w:w="1440"/>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6"/>
              </w:rPr>
              <w:t>AIC</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522.33</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6"/>
              </w:rPr>
              <w:t>518.10</w:t>
            </w:r>
          </w:p>
        </w:tc>
      </w:tr>
      <w:tr>
        <w:trPr>
          <w:trHeight w:val="280"/>
        </w:trPr>
        <w:tc>
          <w:tcPr>
            <w:tcW w:type="dxa" w:w="1440"/>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6"/>
              </w:rPr>
              <w:t>BIC</w:t>
            </w:r>
          </w:p>
        </w:tc>
        <w:tc>
          <w:tcPr>
            <w:tcW w:type="dxa" w:w="1368"/>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6"/>
              </w:rPr>
              <w:t>544.91</w:t>
            </w:r>
          </w:p>
        </w:tc>
        <w:tc>
          <w:tcPr>
            <w:tcW w:type="dxa" w:w="1368"/>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6"/>
              </w:rPr>
              <w:t>544.43</w:t>
            </w:r>
          </w:p>
        </w:tc>
      </w:tr>
    </w:tbl>
    <w:p>
      <w:pPr>
        <w:spacing w:before="0" w:after="80"/>
      </w:pPr>
    </w:p>
    <w:p>
      <w:pPr>
        <w:spacing w:before="40" w:after="120"/>
      </w:pPr>
      <w:r>
        <w:rPr>
          <w:rFonts w:ascii="Times New Roman" w:hAnsi="Times New Roman"/>
          <w:color w:val="6E6E6E"/>
          <w:sz w:val="16"/>
        </w:rPr>
      </w:r>
      <w:r>
        <w:rPr>
          <w:rFonts w:ascii="Times New Roman" w:hAnsi="Times New Roman"/>
          <w:b/>
          <w:color w:val="6E6E6E"/>
          <w:sz w:val="16"/>
        </w:rPr>
        <w:t>Catatan:</w:t>
      </w:r>
      <w:r>
        <w:rPr>
          <w:rFonts w:ascii="Times New Roman" w:hAnsi="Times New Roman"/>
          <w:color w:val="6E6E6E"/>
          <w:sz w:val="16"/>
        </w:rPr>
        <w:t xml:space="preserve"> </w:t>
      </w:r>
      <w:r>
        <w:rPr>
          <w:rFonts w:ascii="Times New Roman" w:hAnsi="Times New Roman"/>
          <w:i/>
          <w:color w:val="6E6E6E"/>
          <w:sz w:val="16"/>
        </w:rPr>
      </w:r>
      <w:r>
        <w:rPr>
          <w:rFonts w:ascii="Times New Roman" w:hAnsi="Times New Roman"/>
          <w:color w:val="6E6E6E"/>
          <w:sz w:val="16"/>
        </w:rPr>
        <w:t xml:space="preserve"> signifikan pada 5% (|t|&gt;1.96); SE biasa dalam tanda kurung.</w:t>
      </w:r>
    </w:p>
    <w:p>
      <w:pPr>
        <w:spacing w:before="0" w:after="80" w:line="252" w:lineRule="auto"/>
        <w:jc w:val="both"/>
      </w:pPr>
      <w:r>
        <w:rPr>
          <w:rFonts w:ascii="Times New Roman" w:hAnsi="Times New Roman"/>
          <w:sz w:val="19"/>
        </w:rPr>
        <w:t>ASC meningkatkan log-likelihood dan menurunkan AIC, walaupun peningkatan ρ² dari 0.0397 menjadi 0.0514 tetap menunjukkan daya jelas rendah. ASC kendaraan pribadi positif dan signifikan (β=0.610), sehingga terdapat kecenderungan terhadap kendaraan pribadi yang tidak dijelaskan oleh atribut terukur. Keandalan positif dan signifikan sesuai teori. Waktu dan biaya negatif tetapi tidak signifikan.</w:t>
      </w:r>
    </w:p>
    <w:p>
      <w:pPr>
        <w:spacing w:before="0" w:after="80" w:line="252" w:lineRule="auto"/>
        <w:jc w:val="both"/>
      </w:pPr>
      <w:r>
        <w:rPr>
          <w:rFonts w:ascii="Times New Roman" w:hAnsi="Times New Roman"/>
          <w:sz w:val="19"/>
        </w:rPr>
        <w:t>Jarak akses positif dan signifikan berlawanan dengan teori. Hasil ini tidak ditafsirkan bahwa pengguna menyukai akses yang lebih jauh. Nilai akses nol pada kendaraan pribadi, perbedaan cakupan jaringan, dan proksi atribut berbasis sistem dapat menyebabkan parameter menangkap struktur alternatif atau faktor lokasi yang tidak dimodelkan. Kenyamanan kehilangan signifikansi setelah ASC ditambahkan, menunjukkan kemungkinan keterkaitan proksi kenyamanan dengan identitas moda.</w:t>
      </w:r>
    </w:p>
    <w:p>
      <w:pPr>
        <w:keepNext/>
        <w:spacing w:before="160" w:after="40"/>
        <w:jc w:val="center"/>
      </w:pPr>
      <w:r>
        <w:drawing>
          <wp:inline xmlns:a="http://schemas.openxmlformats.org/drawingml/2006/main" xmlns:pic="http://schemas.openxmlformats.org/drawingml/2006/picture">
            <wp:extent cx="2606040" cy="1713987"/>
            <wp:docPr id="4" name="Picture 4"/>
            <wp:cNvGraphicFramePr>
              <a:graphicFrameLocks noChangeAspect="1"/>
            </wp:cNvGraphicFramePr>
            <a:graphic>
              <a:graphicData uri="http://schemas.openxmlformats.org/drawingml/2006/picture">
                <pic:pic>
                  <pic:nvPicPr>
                    <pic:cNvPr id="0" name="figure_04_koefisien_mnl.png"/>
                    <pic:cNvPicPr/>
                  </pic:nvPicPr>
                  <pic:blipFill>
                    <a:blip r:embed="rId12"/>
                    <a:stretch>
                      <a:fillRect/>
                    </a:stretch>
                  </pic:blipFill>
                  <pic:spPr>
                    <a:xfrm>
                      <a:off x="0" y="0"/>
                      <a:ext cx="2606040" cy="1713987"/>
                    </a:xfrm>
                    <a:prstGeom prst="rect"/>
                  </pic:spPr>
                </pic:pic>
              </a:graphicData>
            </a:graphic>
          </wp:inline>
        </w:drawing>
      </w:r>
    </w:p>
    <w:p>
      <w:pPr>
        <w:keepNext w:val="0"/>
        <w:spacing w:before="40" w:after="160"/>
        <w:jc w:val="center"/>
      </w:pPr>
      <w:r>
        <w:rPr>
          <w:rFonts w:ascii="Times New Roman" w:hAnsi="Times New Roman"/>
          <w:b/>
          <w:color w:val="000000"/>
          <w:sz w:val="18"/>
        </w:rPr>
        <w:t>GAMBAR 4. Koefisien model MNL+ASC dan interval kepercayaan 95%</w:t>
      </w:r>
    </w:p>
    <w:p>
      <w:pPr>
        <w:keepNext/>
        <w:spacing w:before="160" w:after="40"/>
        <w:jc w:val="left"/>
      </w:pPr>
      <w:r>
        <w:rPr>
          <w:rFonts w:ascii="Times New Roman" w:hAnsi="Times New Roman"/>
          <w:b/>
          <w:color w:val="000000"/>
          <w:sz w:val="19"/>
        </w:rPr>
        <w:t>Sensitivitas dan Pemilihan Model</w:t>
      </w:r>
    </w:p>
    <w:p>
      <w:pPr>
        <w:keepNext/>
        <w:spacing w:before="40" w:after="160"/>
        <w:jc w:val="center"/>
      </w:pPr>
      <w:r>
        <w:rPr>
          <w:rFonts w:ascii="Times New Roman" w:hAnsi="Times New Roman"/>
          <w:b/>
          <w:color w:val="000000"/>
          <w:sz w:val="18"/>
        </w:rPr>
        <w:t>TABEL 5. Analisis sensitivitas spesifikasi</w:t>
      </w:r>
    </w:p>
    <w:p>
      <w:pPr>
        <w:sectPr>
          <w:pgSz w:w="11909" w:h="16834"/>
          <w:pgMar w:top="1440" w:right="1440" w:bottom="1440" w:left="1440" w:header="720" w:footer="720" w:gutter="0"/>
          <w:docGrid w:linePitch="360"/>
          <w:type w:val="continuous"/>
          <w:cols w:num="2" w:space="708"/>
        </w:sectPr>
      </w:pPr>
    </w:p>
    <w:tbl>
      <w:tblPr>
        <w:tblW w:type="auto" w:w="0"/>
        <w:jc w:val="center"/>
        <w:tblLayout w:type="fixed"/>
        <w:tblLook w:firstColumn="1" w:firstRow="1" w:lastColumn="0" w:lastRow="0" w:noHBand="0" w:noVBand="1" w:val="04A0"/>
      </w:tblPr>
      <w:tblGrid>
        <w:gridCol w:w="2117"/>
        <w:gridCol w:w="1368"/>
        <w:gridCol w:w="1224"/>
        <w:gridCol w:w="1368"/>
        <w:gridCol w:w="1368"/>
        <w:gridCol w:w="1584"/>
      </w:tblGrid>
      <w:tr>
        <w:trPr>
          <w:trHeight w:val="320"/>
        </w:trPr>
        <w:tc>
          <w:tcPr>
            <w:tcW w:type="dxa" w:w="2117"/>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5"/>
              </w:rPr>
              <w:t>Spesifikasi</w:t>
            </w:r>
          </w:p>
        </w:tc>
        <w:tc>
          <w:tcPr>
            <w:tcW w:type="dxa" w:w="1368"/>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5"/>
              </w:rPr>
              <w:t>LL</w:t>
            </w:r>
          </w:p>
        </w:tc>
        <w:tc>
          <w:tcPr>
            <w:tcW w:type="dxa" w:w="1224"/>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5"/>
              </w:rPr>
              <w:t>ρ²</w:t>
            </w:r>
          </w:p>
        </w:tc>
        <w:tc>
          <w:tcPr>
            <w:tcW w:type="dxa" w:w="1368"/>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5"/>
              </w:rPr>
              <w:t>AIC</w:t>
            </w:r>
          </w:p>
        </w:tc>
        <w:tc>
          <w:tcPr>
            <w:tcW w:type="dxa" w:w="1368"/>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5"/>
              </w:rPr>
              <w:t>BIC</w:t>
            </w:r>
          </w:p>
        </w:tc>
        <w:tc>
          <w:tcPr>
            <w:tcW w:type="dxa" w:w="1584"/>
            <w:vAlign w:val="center"/>
            <w:shd w:fill="F2F4F4"/>
            <w:tcBorders>
              <w:top w:val="single" w:sz="12" w:space="0" w:color="000000"/>
              <w:left w:val="none" w:sz="4" w:space="0" w:color="000000"/>
              <w:bottom w:val="single" w:sz="6" w:space="0" w:color="000000"/>
              <w:right w:val="none" w:sz="4" w:space="0" w:color="000000"/>
            </w:tcBorders>
          </w:tcPr>
          <w:p>
            <w:pPr>
              <w:spacing w:before="30" w:after="30"/>
              <w:jc w:val="left"/>
            </w:pPr>
            <w:r>
              <w:rPr>
                <w:rFonts w:ascii="Times New Roman" w:hAnsi="Times New Roman"/>
                <w:b/>
                <w:color w:val="000000"/>
                <w:sz w:val="15"/>
              </w:rPr>
              <w:t>LR p-value</w:t>
            </w:r>
          </w:p>
        </w:tc>
      </w:tr>
      <w:tr>
        <w:trPr>
          <w:trHeight w:val="280"/>
        </w:trPr>
        <w:tc>
          <w:tcPr>
            <w:tcW w:type="dxa" w:w="2117"/>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5"/>
              </w:rPr>
              <w:t>Penuh + ASC</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−252.049</w:t>
            </w:r>
          </w:p>
        </w:tc>
        <w:tc>
          <w:tcPr>
            <w:tcW w:type="dxa" w:w="1224"/>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0.0514</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518.10</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544.43</w:t>
            </w:r>
          </w:p>
        </w:tc>
        <w:tc>
          <w:tcPr>
            <w:tcW w:type="dxa" w:w="1584"/>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w:t>
            </w:r>
          </w:p>
        </w:tc>
      </w:tr>
      <w:tr>
        <w:trPr>
          <w:trHeight w:val="280"/>
        </w:trPr>
        <w:tc>
          <w:tcPr>
            <w:tcW w:type="dxa" w:w="2117"/>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5"/>
              </w:rPr>
              <w:t>Tanpa akses</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−255.122</w:t>
            </w:r>
          </w:p>
        </w:tc>
        <w:tc>
          <w:tcPr>
            <w:tcW w:type="dxa" w:w="1224"/>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0.0399</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522.24</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544.82</w:t>
            </w:r>
          </w:p>
        </w:tc>
        <w:tc>
          <w:tcPr>
            <w:tcW w:type="dxa" w:w="1584"/>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0.0132</w:t>
            </w:r>
          </w:p>
        </w:tc>
      </w:tr>
      <w:tr>
        <w:trPr>
          <w:trHeight w:val="280"/>
        </w:trPr>
        <w:tc>
          <w:tcPr>
            <w:tcW w:type="dxa" w:w="2117"/>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5"/>
              </w:rPr>
              <w:t>Tanpa transfer</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−252.436</w:t>
            </w:r>
          </w:p>
        </w:tc>
        <w:tc>
          <w:tcPr>
            <w:tcW w:type="dxa" w:w="1224"/>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0.0500</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516.87</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539.44</w:t>
            </w:r>
          </w:p>
        </w:tc>
        <w:tc>
          <w:tcPr>
            <w:tcW w:type="dxa" w:w="1584"/>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0.3790</w:t>
            </w:r>
          </w:p>
        </w:tc>
      </w:tr>
      <w:tr>
        <w:trPr>
          <w:trHeight w:val="280"/>
        </w:trPr>
        <w:tc>
          <w:tcPr>
            <w:tcW w:type="dxa" w:w="2117"/>
            <w:vAlign w:val="center"/>
            <w:tcBorders>
              <w:top w:val="none" w:sz="4" w:space="0" w:color="000000"/>
              <w:left w:val="none" w:sz="4" w:space="0" w:color="000000"/>
              <w:bottom w:val="single" w:sz="4" w:space="0" w:color="E0E0E0"/>
              <w:right w:val="none" w:sz="4" w:space="0" w:color="000000"/>
            </w:tcBorders>
          </w:tcPr>
          <w:p>
            <w:pPr>
              <w:spacing w:before="30" w:after="30"/>
              <w:jc w:val="left"/>
            </w:pPr>
            <w:r>
              <w:rPr>
                <w:rFonts w:ascii="Times New Roman" w:hAnsi="Times New Roman"/>
                <w:color w:val="000000"/>
                <w:sz w:val="15"/>
              </w:rPr>
              <w:t>Tanpa akses &amp; transfer</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−255.143</w:t>
            </w:r>
          </w:p>
        </w:tc>
        <w:tc>
          <w:tcPr>
            <w:tcW w:type="dxa" w:w="1224"/>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0.0398</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520.29</w:t>
            </w:r>
          </w:p>
        </w:tc>
        <w:tc>
          <w:tcPr>
            <w:tcW w:type="dxa" w:w="1368"/>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539.10</w:t>
            </w:r>
          </w:p>
        </w:tc>
        <w:tc>
          <w:tcPr>
            <w:tcW w:type="dxa" w:w="1584"/>
            <w:vAlign w:val="center"/>
            <w:tcBorders>
              <w:top w:val="none" w:sz="4" w:space="0" w:color="000000"/>
              <w:left w:val="none" w:sz="4" w:space="0" w:color="000000"/>
              <w:bottom w:val="single" w:sz="4" w:space="0" w:color="E0E0E0"/>
              <w:right w:val="none" w:sz="4" w:space="0" w:color="000000"/>
            </w:tcBorders>
          </w:tcPr>
          <w:p>
            <w:pPr>
              <w:spacing w:before="30" w:after="30"/>
              <w:jc w:val="right"/>
            </w:pPr>
            <w:r>
              <w:rPr>
                <w:rFonts w:ascii="Times New Roman" w:hAnsi="Times New Roman"/>
                <w:color w:val="000000"/>
                <w:sz w:val="15"/>
              </w:rPr>
              <w:t>0.0453</w:t>
            </w:r>
          </w:p>
        </w:tc>
      </w:tr>
      <w:tr>
        <w:trPr>
          <w:trHeight w:val="280"/>
        </w:trPr>
        <w:tc>
          <w:tcPr>
            <w:tcW w:type="dxa" w:w="2117"/>
            <w:vAlign w:val="center"/>
            <w:tcBorders>
              <w:top w:val="none" w:sz="4" w:space="0" w:color="000000"/>
              <w:left w:val="none" w:sz="4" w:space="0" w:color="000000"/>
              <w:bottom w:val="single" w:sz="12" w:space="0" w:color="000000"/>
              <w:right w:val="none" w:sz="4" w:space="0" w:color="000000"/>
            </w:tcBorders>
          </w:tcPr>
          <w:p>
            <w:pPr>
              <w:spacing w:before="30" w:after="30"/>
              <w:jc w:val="left"/>
            </w:pPr>
            <w:r>
              <w:rPr>
                <w:rFonts w:ascii="Times New Roman" w:hAnsi="Times New Roman"/>
                <w:color w:val="000000"/>
                <w:sz w:val="15"/>
              </w:rPr>
              <w:t>Tanpa transportasi nonpublik berbayar†</w:t>
            </w:r>
          </w:p>
        </w:tc>
        <w:tc>
          <w:tcPr>
            <w:tcW w:type="dxa" w:w="1368"/>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5"/>
              </w:rPr>
              <w:t>−237.397</w:t>
            </w:r>
          </w:p>
        </w:tc>
        <w:tc>
          <w:tcPr>
            <w:tcW w:type="dxa" w:w="1224"/>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5"/>
              </w:rPr>
              <w:t>0.0404</w:t>
            </w:r>
          </w:p>
        </w:tc>
        <w:tc>
          <w:tcPr>
            <w:tcW w:type="dxa" w:w="1368"/>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5"/>
              </w:rPr>
              <w:t>488.79</w:t>
            </w:r>
          </w:p>
        </w:tc>
        <w:tc>
          <w:tcPr>
            <w:tcW w:type="dxa" w:w="1368"/>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5"/>
              </w:rPr>
              <w:t>514.67</w:t>
            </w:r>
          </w:p>
        </w:tc>
        <w:tc>
          <w:tcPr>
            <w:tcW w:type="dxa" w:w="1584"/>
            <w:vAlign w:val="center"/>
            <w:tcBorders>
              <w:top w:val="none" w:sz="4" w:space="0" w:color="000000"/>
              <w:left w:val="none" w:sz="4" w:space="0" w:color="000000"/>
              <w:bottom w:val="single" w:sz="12" w:space="0" w:color="000000"/>
              <w:right w:val="none" w:sz="4" w:space="0" w:color="000000"/>
            </w:tcBorders>
          </w:tcPr>
          <w:p>
            <w:pPr>
              <w:spacing w:before="30" w:after="30"/>
              <w:jc w:val="right"/>
            </w:pPr>
            <w:r>
              <w:rPr>
                <w:rFonts w:ascii="Times New Roman" w:hAnsi="Times New Roman"/>
                <w:color w:val="000000"/>
                <w:sz w:val="15"/>
              </w:rPr>
              <w:t>—</w:t>
            </w:r>
          </w:p>
        </w:tc>
      </w:tr>
    </w:tbl>
    <w:p>
      <w:pPr>
        <w:spacing w:before="0" w:after="80"/>
      </w:pPr>
    </w:p>
    <w:p>
      <w:pPr>
        <w:sectPr>
          <w:pgSz w:w="11909" w:h="16834"/>
          <w:pgMar w:top="1440" w:right="1440" w:bottom="1440" w:left="1440" w:header="720" w:footer="720" w:gutter="0"/>
          <w:docGrid w:linePitch="360"/>
          <w:type w:val="continuous"/>
          <w:cols w:num="1" w:space="708"/>
        </w:sectPr>
      </w:pPr>
    </w:p>
    <w:p>
      <w:pPr>
        <w:spacing w:before="40" w:after="120"/>
      </w:pPr>
      <w:r>
        <w:rPr>
          <w:rFonts w:ascii="Times New Roman" w:hAnsi="Times New Roman"/>
          <w:color w:val="6E6E6E"/>
          <w:sz w:val="16"/>
        </w:rPr>
      </w:r>
      <w:r>
        <w:rPr>
          <w:rFonts w:ascii="Times New Roman" w:hAnsi="Times New Roman"/>
          <w:b/>
          <w:color w:val="6E6E6E"/>
          <w:sz w:val="16"/>
        </w:rPr>
        <w:t>Catatan:</w:t>
      </w:r>
      <w:r>
        <w:rPr>
          <w:rFonts w:ascii="Times New Roman" w:hAnsi="Times New Roman"/>
          <w:color w:val="6E6E6E"/>
          <w:sz w:val="16"/>
        </w:rPr>
        <w:t xml:space="preserve"> †N=298 sehingga AIC/BIC tidak dibandingkan langsung dengan model N=318.</w:t>
      </w:r>
    </w:p>
    <w:p>
      <w:pPr>
        <w:spacing w:before="0" w:after="80" w:line="252" w:lineRule="auto"/>
        <w:jc w:val="both"/>
      </w:pPr>
      <w:r>
        <w:rPr>
          <w:rFonts w:ascii="Times New Roman" w:hAnsi="Times New Roman"/>
          <w:sz w:val="19"/>
        </w:rPr>
        <w:t>Penghapusan akses menurunkan kecocokan secara signifikan (p=0.0132), sehingga akses tetap membawa informasi meskipun tandanya bermasalah. Penghapusan transfer tidak signifikan (p=0.3790) dan menghasilkan AIC lebih rendah; model tanpa transfer layak sebagai robustness check, tetapi model penuh dipertahankan sebagai model utama berdasarkan kerangka konseptual.</w:t>
      </w:r>
    </w:p>
    <w:p>
      <w:pPr>
        <w:keepNext/>
        <w:spacing w:before="160" w:after="40"/>
        <w:jc w:val="center"/>
      </w:pPr>
      <w:r>
        <w:drawing>
          <wp:inline xmlns:a="http://schemas.openxmlformats.org/drawingml/2006/main" xmlns:pic="http://schemas.openxmlformats.org/drawingml/2006/picture">
            <wp:extent cx="2606040" cy="1713987"/>
            <wp:docPr id="5" name="Picture 5"/>
            <wp:cNvGraphicFramePr>
              <a:graphicFrameLocks noChangeAspect="1"/>
            </wp:cNvGraphicFramePr>
            <a:graphic>
              <a:graphicData uri="http://schemas.openxmlformats.org/drawingml/2006/picture">
                <pic:pic>
                  <pic:nvPicPr>
                    <pic:cNvPr id="0" name="figure_05_kecocokan_model.png"/>
                    <pic:cNvPicPr/>
                  </pic:nvPicPr>
                  <pic:blipFill>
                    <a:blip r:embed="rId13"/>
                    <a:stretch>
                      <a:fillRect/>
                    </a:stretch>
                  </pic:blipFill>
                  <pic:spPr>
                    <a:xfrm>
                      <a:off x="0" y="0"/>
                      <a:ext cx="2606040" cy="1713987"/>
                    </a:xfrm>
                    <a:prstGeom prst="rect"/>
                  </pic:spPr>
                </pic:pic>
              </a:graphicData>
            </a:graphic>
          </wp:inline>
        </w:drawing>
      </w:r>
    </w:p>
    <w:p>
      <w:pPr>
        <w:keepNext w:val="0"/>
        <w:spacing w:before="40" w:after="160"/>
        <w:jc w:val="center"/>
      </w:pPr>
      <w:r>
        <w:rPr>
          <w:rFonts w:ascii="Times New Roman" w:hAnsi="Times New Roman"/>
          <w:b/>
          <w:color w:val="000000"/>
          <w:sz w:val="18"/>
        </w:rPr>
        <w:t>GAMBAR 5. AIC dan BIC untuk model dengan sampel yang sama</w:t>
      </w:r>
    </w:p>
    <w:p>
      <w:pPr>
        <w:spacing w:before="0" w:after="80" w:line="252" w:lineRule="auto"/>
        <w:jc w:val="both"/>
      </w:pPr>
      <w:r>
        <w:rPr>
          <w:rFonts w:ascii="Times New Roman" w:hAnsi="Times New Roman"/>
          <w:sz w:val="19"/>
        </w:rPr>
        <w:t>Tanda kenyamanan, keandalan, dan ASC tetap positif dalam seluruh spesifikasi. Sebaliknya, tanda waktu dan biaya berubah pada beberapa uji sensitivitas. Ketidakstabilan ini membatasi interpretasi value of time dan menunjukkan bahwa enam atribut belum sepenuhnya memisahkan mekanisme pilihan.</w:t>
      </w:r>
    </w:p>
    <w:p>
      <w:pPr>
        <w:sectPr>
          <w:pgSz w:w="11909" w:h="16834"/>
          <w:pgMar w:top="1440" w:right="1440" w:bottom="1440" w:left="1440" w:header="720" w:footer="720" w:gutter="0"/>
          <w:docGrid w:linePitch="360"/>
          <w:type w:val="continuous"/>
          <w:cols w:num="2" w:space="708"/>
        </w:sectPr>
      </w:pPr>
    </w:p>
    <w:p>
      <w:pPr>
        <w:keepNext/>
        <w:spacing w:before="160" w:after="40"/>
        <w:jc w:val="center"/>
      </w:pPr>
      <w:r>
        <w:drawing>
          <wp:inline xmlns:a="http://schemas.openxmlformats.org/drawingml/2006/main" xmlns:pic="http://schemas.openxmlformats.org/drawingml/2006/picture">
            <wp:extent cx="5486400" cy="3608395"/>
            <wp:docPr id="6" name="Picture 6"/>
            <wp:cNvGraphicFramePr>
              <a:graphicFrameLocks noChangeAspect="1"/>
            </wp:cNvGraphicFramePr>
            <a:graphic>
              <a:graphicData uri="http://schemas.openxmlformats.org/drawingml/2006/picture">
                <pic:pic>
                  <pic:nvPicPr>
                    <pic:cNvPr id="0" name="figure_06_stabilitas_koefisien.png"/>
                    <pic:cNvPicPr/>
                  </pic:nvPicPr>
                  <pic:blipFill>
                    <a:blip r:embed="rId14"/>
                    <a:stretch>
                      <a:fillRect/>
                    </a:stretch>
                  </pic:blipFill>
                  <pic:spPr>
                    <a:xfrm>
                      <a:off x="0" y="0"/>
                      <a:ext cx="5486400" cy="3608395"/>
                    </a:xfrm>
                    <a:prstGeom prst="rect"/>
                  </pic:spPr>
                </pic:pic>
              </a:graphicData>
            </a:graphic>
          </wp:inline>
        </w:drawing>
      </w:r>
    </w:p>
    <w:p>
      <w:pPr>
        <w:keepNext w:val="0"/>
        <w:spacing w:before="40" w:after="160"/>
        <w:jc w:val="center"/>
      </w:pPr>
      <w:r>
        <w:rPr>
          <w:rFonts w:ascii="Times New Roman" w:hAnsi="Times New Roman"/>
          <w:b/>
          <w:color w:val="000000"/>
          <w:sz w:val="18"/>
        </w:rPr>
        <w:t>GAMBAR 6. Stabilitas koefisien relatif terhadap model penuh</w:t>
      </w:r>
    </w:p>
    <w:p>
      <w:pPr>
        <w:sectPr>
          <w:pgSz w:w="11909" w:h="16834"/>
          <w:pgMar w:top="1440" w:right="1440" w:bottom="1440" w:left="1440" w:header="720" w:footer="720" w:gutter="0"/>
          <w:docGrid w:linePitch="360"/>
          <w:type w:val="continuous"/>
          <w:cols w:num="1" w:space="708"/>
        </w:sectPr>
      </w:pPr>
    </w:p>
    <w:p>
      <w:pPr>
        <w:keepNext/>
        <w:spacing w:before="160" w:after="40"/>
        <w:jc w:val="left"/>
      </w:pPr>
      <w:r>
        <w:rPr>
          <w:rFonts w:ascii="Times New Roman" w:hAnsi="Times New Roman"/>
          <w:b/>
          <w:color w:val="000000"/>
          <w:sz w:val="19"/>
        </w:rPr>
        <w:t>Implikasi dan Keterbatasan</w:t>
      </w:r>
    </w:p>
    <w:p>
      <w:pPr>
        <w:spacing w:before="0" w:after="80" w:line="252" w:lineRule="auto"/>
        <w:jc w:val="both"/>
      </w:pPr>
      <w:r>
        <w:rPr>
          <w:rFonts w:ascii="Times New Roman" w:hAnsi="Times New Roman"/>
          <w:sz w:val="19"/>
        </w:rPr>
        <w:t>Hasil mendukung prioritas pada keandalan: jadwal yang lebih dapat diprediksi dan informasi kedatangan yang konsisten berpotensi memperkuat daya tarik transportasi publik. ASC positif mengindikasikan bahwa kebiasaan, privasi, fleksibilitas, ketersediaan kendaraan, atau faktor tak teramati lain masih menguntungkan kendaraan pribadi. Kebijakan sebaiknya tidak hanya mengejar waktu tempuh, tetapi juga mengurangi ketidakpastian dan hambatan transfer.</w:t>
      </w:r>
    </w:p>
    <w:p>
      <w:pPr>
        <w:spacing w:before="0" w:after="80" w:line="252" w:lineRule="auto"/>
        <w:jc w:val="both"/>
      </w:pPr>
      <w:r>
        <w:rPr>
          <w:rFonts w:ascii="Times New Roman" w:hAnsi="Times New Roman"/>
          <w:sz w:val="19"/>
        </w:rPr>
        <w:t>Interpretasi dibatasi oleh convenience sampling, pilihan yang belum diverifikasi realisasinya, dua mode pengumpulan, serta parameter kenyamanan, keandalan, headway, dan kecepatan yang sebagian berbasis asumsi sistem. MNL juga membawa asumsi independence of irrelevant alternatives (Train 2009). Daya jelas rendah dan tanda akses yang tidak sesuai teori menunjukkan perlunya data operasi aktual, pengukuran akses yang lebih kaya, variabel sikap, serta model heterogenitas pada penelitian selanjutnya.</w:t>
      </w:r>
    </w:p>
    <w:p>
      <w:pPr>
        <w:keepNext/>
        <w:spacing w:before="240" w:after="80"/>
        <w:jc w:val="center"/>
      </w:pPr>
      <w:r>
        <w:rPr>
          <w:rFonts w:ascii="Times New Roman" w:hAnsi="Times New Roman"/>
          <w:b/>
          <w:color w:val="000000"/>
          <w:sz w:val="20"/>
        </w:rPr>
        <w:t>KESIMPULAN</w:t>
      </w:r>
    </w:p>
    <w:p>
      <w:pPr>
        <w:spacing w:before="0" w:after="80" w:line="252" w:lineRule="auto"/>
        <w:jc w:val="both"/>
      </w:pPr>
      <w:r>
        <w:rPr>
          <w:rFonts w:ascii="Times New Roman" w:hAnsi="Times New Roman"/>
          <w:sz w:val="19"/>
        </w:rPr>
        <w:t>Penelitian ini menghubungkan choice set perjalanan rutin yang dibentuk aplikasi dengan MNL untuk menganalisis pemilihan moda di jaringan publik terintegrasi Palembang. Dari 400 responden, 318 observasi memenuhi aturan kualitas. Model MNL+ASC lebih baik daripada model dasar, tetapi daya jelasnya tetap rendah. Keandalan dan kecenderungan dasar terhadap kendaraan pribadi signifikan dan stabil, sedangkan waktu, biaya, serta transfer belum signifikan. Akses membawa informasi statistik tetapi bertanda berlawanan dengan teori sehingga tidak boleh diberi interpretasi perilaku langsung.</w:t>
      </w:r>
    </w:p>
    <w:p>
      <w:pPr>
        <w:spacing w:before="0" w:after="80" w:line="252" w:lineRule="auto"/>
        <w:jc w:val="both"/>
      </w:pPr>
      <w:r>
        <w:rPr>
          <w:rFonts w:ascii="Times New Roman" w:hAnsi="Times New Roman"/>
          <w:sz w:val="19"/>
        </w:rPr>
        <w:t>Temuan mengarahkan perbaikan layanan pada keandalan dan faktor tak teramati yang mempertahankan kendaraan pribadi. Model tanpa transfer mendukung ketahanan sebagian hasil, tetapi perubahan tanda waktu dan biaya menuntut kehati-hatian. Koefisien belum digunakan untuk rekomendasi produksi. Validasi berikutnya perlu menggabungkan waktu operasi aktual, realisasi perjalanan, pengukuran persepsi yang tervalidasi, dan rancangan sampel yang lebih representatif.</w:t>
      </w:r>
    </w:p>
    <w:p>
      <w:pPr>
        <w:keepNext/>
        <w:spacing w:before="240" w:after="80"/>
        <w:jc w:val="center"/>
      </w:pPr>
      <w:r>
        <w:rPr>
          <w:rFonts w:ascii="Times New Roman" w:hAnsi="Times New Roman"/>
          <w:b/>
          <w:color w:val="000000"/>
          <w:sz w:val="20"/>
        </w:rPr>
        <w:t>PENGHARGAAN</w:t>
      </w:r>
    </w:p>
    <w:p>
      <w:pPr>
        <w:spacing w:before="0" w:after="80" w:line="252" w:lineRule="auto"/>
        <w:jc w:val="both"/>
      </w:pPr>
      <w:r>
        <w:rPr>
          <w:rFonts w:ascii="Times New Roman" w:hAnsi="Times New Roman"/>
          <w:sz w:val="19"/>
        </w:rPr>
        <w:t>Penelitian ini didukung oleh `[NAMA PEMBERI DANA]` melalui hibah nomor `[NOMOR HIBAH]`.</w:t>
      </w:r>
    </w:p>
    <w:p>
      <w:pPr>
        <w:keepNext/>
        <w:spacing w:before="240" w:after="80"/>
        <w:jc w:val="center"/>
      </w:pPr>
      <w:r>
        <w:rPr>
          <w:rFonts w:ascii="Times New Roman" w:hAnsi="Times New Roman"/>
          <w:b/>
          <w:color w:val="000000"/>
          <w:sz w:val="20"/>
        </w:rPr>
        <w:t>PERNYATAAN KEPENTINGAN BERSAING</w:t>
      </w:r>
    </w:p>
    <w:p>
      <w:pPr>
        <w:spacing w:before="0" w:after="80" w:line="252" w:lineRule="auto"/>
        <w:jc w:val="both"/>
      </w:pPr>
      <w:r>
        <w:rPr>
          <w:rFonts w:ascii="Times New Roman" w:hAnsi="Times New Roman"/>
          <w:sz w:val="19"/>
        </w:rPr>
        <w:t>Tidak ada.</w:t>
      </w:r>
    </w:p>
    <w:p>
      <w:pPr>
        <w:keepNext/>
        <w:spacing w:before="240" w:after="80"/>
        <w:jc w:val="center"/>
      </w:pPr>
      <w:r>
        <w:rPr>
          <w:rFonts w:ascii="Times New Roman" w:hAnsi="Times New Roman"/>
          <w:b/>
          <w:color w:val="000000"/>
          <w:sz w:val="20"/>
        </w:rPr>
        <w:t>REFERENSI</w:t>
      </w:r>
    </w:p>
    <w:p>
      <w:pPr>
        <w:spacing w:before="0" w:after="80" w:line="252" w:lineRule="auto"/>
        <w:jc w:val="both"/>
      </w:pPr>
      <w:r>
        <w:rPr>
          <w:rFonts w:ascii="Times New Roman" w:hAnsi="Times New Roman"/>
          <w:sz w:val="19"/>
        </w:rPr>
        <w:t xml:space="preserve">Badan Pusat Statistik Kota Palembang. 2024. </w:t>
      </w:r>
      <w:r>
        <w:rPr>
          <w:rFonts w:ascii="Times New Roman" w:hAnsi="Times New Roman"/>
          <w:i/>
          <w:sz w:val="19"/>
        </w:rPr>
        <w:t>Kota Palembang dalam Angka 2024</w:t>
      </w:r>
      <w:r>
        <w:rPr>
          <w:rFonts w:ascii="Times New Roman" w:hAnsi="Times New Roman"/>
          <w:sz w:val="19"/>
        </w:rPr>
        <w:t>. Palembang: BPS Kota Palembang.</w:t>
      </w:r>
    </w:p>
    <w:p>
      <w:pPr>
        <w:spacing w:before="0" w:after="80" w:line="252" w:lineRule="auto"/>
        <w:jc w:val="both"/>
      </w:pPr>
      <w:r>
        <w:rPr>
          <w:rFonts w:ascii="Times New Roman" w:hAnsi="Times New Roman"/>
          <w:sz w:val="19"/>
        </w:rPr>
        <w:t xml:space="preserve">Bates, J., Polak, J., Jones, P. &amp; Cook, A. 2001. The valuation of reliability for personal travel. </w:t>
      </w:r>
      <w:r>
        <w:rPr>
          <w:rFonts w:ascii="Times New Roman" w:hAnsi="Times New Roman"/>
          <w:i/>
          <w:sz w:val="19"/>
        </w:rPr>
        <w:t>Transportation Research Part E</w:t>
      </w:r>
      <w:r>
        <w:rPr>
          <w:rFonts w:ascii="Times New Roman" w:hAnsi="Times New Roman"/>
          <w:sz w:val="19"/>
        </w:rPr>
        <w:t xml:space="preserve"> 37(2–3): 191–229. https://doi.org/10.1016/S1366-5545(00)00011-9</w:t>
      </w:r>
    </w:p>
    <w:p>
      <w:pPr>
        <w:spacing w:before="0" w:after="80" w:line="252" w:lineRule="auto"/>
        <w:jc w:val="both"/>
      </w:pPr>
      <w:r>
        <w:rPr>
          <w:rFonts w:ascii="Times New Roman" w:hAnsi="Times New Roman"/>
          <w:sz w:val="19"/>
        </w:rPr>
        <w:t xml:space="preserve">Ben-Akiva, M. &amp; Lerman, S.R. 1985. </w:t>
      </w:r>
      <w:r>
        <w:rPr>
          <w:rFonts w:ascii="Times New Roman" w:hAnsi="Times New Roman"/>
          <w:i/>
          <w:sz w:val="19"/>
        </w:rPr>
        <w:t>Discrete Choice Analysis: Theory and Application to Travel Demand</w:t>
      </w:r>
      <w:r>
        <w:rPr>
          <w:rFonts w:ascii="Times New Roman" w:hAnsi="Times New Roman"/>
          <w:sz w:val="19"/>
        </w:rPr>
        <w:t>. Cambridge, MA: MIT Press.</w:t>
      </w:r>
    </w:p>
    <w:p>
      <w:pPr>
        <w:spacing w:before="0" w:after="80" w:line="252" w:lineRule="auto"/>
        <w:jc w:val="both"/>
      </w:pPr>
      <w:r>
        <w:rPr>
          <w:rFonts w:ascii="Times New Roman" w:hAnsi="Times New Roman"/>
          <w:sz w:val="19"/>
        </w:rPr>
        <w:t xml:space="preserve">Bhat, C.R. 1998. Accommodating variations in responsiveness to level-of-service measures in travel mode choice modeling. </w:t>
      </w:r>
      <w:r>
        <w:rPr>
          <w:rFonts w:ascii="Times New Roman" w:hAnsi="Times New Roman"/>
          <w:i/>
          <w:sz w:val="19"/>
        </w:rPr>
        <w:t>Transportation Research Part A</w:t>
      </w:r>
      <w:r>
        <w:rPr>
          <w:rFonts w:ascii="Times New Roman" w:hAnsi="Times New Roman"/>
          <w:sz w:val="19"/>
        </w:rPr>
        <w:t xml:space="preserve"> 32(7): 495–507. https://doi.org/10.1016/S0965-8564(98)00011-1</w:t>
      </w:r>
    </w:p>
    <w:p>
      <w:pPr>
        <w:spacing w:before="0" w:after="80" w:line="252" w:lineRule="auto"/>
        <w:jc w:val="both"/>
      </w:pPr>
      <w:r>
        <w:rPr>
          <w:rFonts w:ascii="Times New Roman" w:hAnsi="Times New Roman"/>
          <w:sz w:val="19"/>
        </w:rPr>
        <w:t xml:space="preserve">Dijkstra, E.W. 1959. A note on two problems in connexion with graphs. </w:t>
      </w:r>
      <w:r>
        <w:rPr>
          <w:rFonts w:ascii="Times New Roman" w:hAnsi="Times New Roman"/>
          <w:i/>
          <w:sz w:val="19"/>
        </w:rPr>
        <w:t>Numerische Mathematik</w:t>
      </w:r>
      <w:r>
        <w:rPr>
          <w:rFonts w:ascii="Times New Roman" w:hAnsi="Times New Roman"/>
          <w:sz w:val="19"/>
        </w:rPr>
        <w:t xml:space="preserve"> 1: 269–271. https://doi.org/10.1007/BF01386390</w:t>
      </w:r>
    </w:p>
    <w:p>
      <w:pPr>
        <w:spacing w:before="0" w:after="80" w:line="252" w:lineRule="auto"/>
        <w:jc w:val="both"/>
      </w:pPr>
      <w:r>
        <w:rPr>
          <w:rFonts w:ascii="Times New Roman" w:hAnsi="Times New Roman"/>
          <w:sz w:val="19"/>
        </w:rPr>
        <w:t xml:space="preserve">Direktorat Jenderal Perkeretaapian. 2023. </w:t>
      </w:r>
      <w:r>
        <w:rPr>
          <w:rFonts w:ascii="Times New Roman" w:hAnsi="Times New Roman"/>
          <w:i/>
          <w:sz w:val="19"/>
        </w:rPr>
        <w:t>Profil Pengoperasian LRT Sumatera Selatan</w:t>
      </w:r>
      <w:r>
        <w:rPr>
          <w:rFonts w:ascii="Times New Roman" w:hAnsi="Times New Roman"/>
          <w:sz w:val="19"/>
        </w:rPr>
        <w:t>. Jakarta: Kementerian Perhubungan Republik Indonesia.</w:t>
      </w:r>
    </w:p>
    <w:p>
      <w:pPr>
        <w:spacing w:before="0" w:after="80" w:line="252" w:lineRule="auto"/>
        <w:jc w:val="both"/>
      </w:pPr>
      <w:r>
        <w:rPr>
          <w:rFonts w:ascii="Times New Roman" w:hAnsi="Times New Roman"/>
          <w:sz w:val="19"/>
        </w:rPr>
        <w:t xml:space="preserve">Hensher, D.A., Rose, J.M. &amp; Greene, W.H. 2015. </w:t>
      </w:r>
      <w:r>
        <w:rPr>
          <w:rFonts w:ascii="Times New Roman" w:hAnsi="Times New Roman"/>
          <w:i/>
          <w:sz w:val="19"/>
        </w:rPr>
        <w:t>Applied Choice Analysis</w:t>
      </w:r>
      <w:r>
        <w:rPr>
          <w:rFonts w:ascii="Times New Roman" w:hAnsi="Times New Roman"/>
          <w:sz w:val="19"/>
        </w:rPr>
        <w:t>. Cambridge: Cambridge University Press. https://doi.org/10.1017/CBO9781316136232</w:t>
      </w:r>
    </w:p>
    <w:p>
      <w:pPr>
        <w:spacing w:before="0" w:after="80" w:line="252" w:lineRule="auto"/>
        <w:jc w:val="both"/>
      </w:pPr>
      <w:r>
        <w:rPr>
          <w:rFonts w:ascii="Times New Roman" w:hAnsi="Times New Roman"/>
          <w:sz w:val="19"/>
        </w:rPr>
        <w:t xml:space="preserve">Louviere, J.J., Hensher, D.A. &amp; Swait, J.D. 2000. </w:t>
      </w:r>
      <w:r>
        <w:rPr>
          <w:rFonts w:ascii="Times New Roman" w:hAnsi="Times New Roman"/>
          <w:i/>
          <w:sz w:val="19"/>
        </w:rPr>
        <w:t>Stated Choice Methods: Analysis and Applications</w:t>
      </w:r>
      <w:r>
        <w:rPr>
          <w:rFonts w:ascii="Times New Roman" w:hAnsi="Times New Roman"/>
          <w:sz w:val="19"/>
        </w:rPr>
        <w:t>. Cambridge: Cambridge University Press. https://doi.org/10.1017/CBO9780511753831</w:t>
      </w:r>
    </w:p>
    <w:p>
      <w:pPr>
        <w:spacing w:before="0" w:after="80" w:line="252" w:lineRule="auto"/>
        <w:jc w:val="both"/>
      </w:pPr>
      <w:r>
        <w:rPr>
          <w:rFonts w:ascii="Times New Roman" w:hAnsi="Times New Roman"/>
          <w:sz w:val="19"/>
        </w:rPr>
        <w:t xml:space="preserve">McFadden, D. 1974. Conditional logit analysis of qualitative choice behavior. In </w:t>
      </w:r>
      <w:r>
        <w:rPr>
          <w:rFonts w:ascii="Times New Roman" w:hAnsi="Times New Roman"/>
          <w:i/>
          <w:sz w:val="19"/>
        </w:rPr>
        <w:t>Frontiers in Econometrics</w:t>
      </w:r>
      <w:r>
        <w:rPr>
          <w:rFonts w:ascii="Times New Roman" w:hAnsi="Times New Roman"/>
          <w:sz w:val="19"/>
        </w:rPr>
        <w:t>, edited by P. Zarembka, 105–142. New York: Academic Press.</w:t>
      </w:r>
    </w:p>
    <w:p>
      <w:pPr>
        <w:spacing w:before="0" w:after="80" w:line="252" w:lineRule="auto"/>
        <w:jc w:val="both"/>
      </w:pPr>
      <w:r>
        <w:rPr>
          <w:rFonts w:ascii="Times New Roman" w:hAnsi="Times New Roman"/>
          <w:sz w:val="19"/>
        </w:rPr>
        <w:t xml:space="preserve">Train, K.E. 2009. </w:t>
      </w:r>
      <w:r>
        <w:rPr>
          <w:rFonts w:ascii="Times New Roman" w:hAnsi="Times New Roman"/>
          <w:i/>
          <w:sz w:val="19"/>
        </w:rPr>
        <w:t>Discrete Choice Methods with Simulation</w:t>
      </w:r>
      <w:r>
        <w:rPr>
          <w:rFonts w:ascii="Times New Roman" w:hAnsi="Times New Roman"/>
          <w:sz w:val="19"/>
        </w:rPr>
        <w:t>. 2nd ed. Cambridge: Cambridge University Press.</w:t>
      </w:r>
    </w:p>
    <w:p>
      <w:pPr>
        <w:spacing w:before="0" w:after="80" w:line="252" w:lineRule="auto"/>
        <w:jc w:val="both"/>
      </w:pPr>
      <w:r>
        <w:rPr>
          <w:rFonts w:ascii="Times New Roman" w:hAnsi="Times New Roman"/>
          <w:sz w:val="19"/>
        </w:rPr>
        <w:t xml:space="preserve">Wardman, M. 2004. Public transport values of time. </w:t>
      </w:r>
      <w:r>
        <w:rPr>
          <w:rFonts w:ascii="Times New Roman" w:hAnsi="Times New Roman"/>
          <w:i/>
          <w:sz w:val="19"/>
        </w:rPr>
        <w:t>Transport Policy</w:t>
      </w:r>
      <w:r>
        <w:rPr>
          <w:rFonts w:ascii="Times New Roman" w:hAnsi="Times New Roman"/>
          <w:sz w:val="19"/>
        </w:rPr>
        <w:t xml:space="preserve"> 11(4): 363–377. https://doi.org/10.1016/j.tranpol.2004.05.001</w:t>
      </w:r>
    </w:p>
    <w:sectPr w:rsidR="00FC693F" w:rsidRPr="0006063C" w:rsidSect="00034616">
      <w:pgSz w:w="11909" w:h="16834"/>
      <w:pgMar w:top="1440" w:right="1440" w:bottom="1440" w:left="1440" w:header="720" w:footer="720" w:gutter="0"/>
      <w:docGrid w:linePitch="360"/>
      <w:type w:val="continuous"/>
      <w:cols w:num="2"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