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6A15" w14:textId="77777777" w:rsidR="0013457E" w:rsidRPr="0013457E" w:rsidRDefault="0013457E" w:rsidP="0013457E">
      <w:pPr>
        <w:spacing w:after="240" w:line="240" w:lineRule="auto"/>
        <w:rPr>
          <w:rFonts w:ascii="Times New Roman" w:eastAsia="Times New Roman" w:hAnsi="Times New Roman" w:cs="Times New Roman"/>
          <w:kern w:val="0"/>
          <w14:ligatures w14:val="none"/>
        </w:rPr>
      </w:pPr>
      <w:r w:rsidRPr="0013457E">
        <w:rPr>
          <w:rFonts w:ascii="Times New Roman" w:eastAsia="Times New Roman" w:hAnsi="Times New Roman" w:cs="Times New Roman"/>
          <w:kern w:val="0"/>
          <w14:ligatures w14:val="none"/>
        </w:rPr>
        <w:br/>
      </w:r>
      <w:r w:rsidRPr="0013457E">
        <w:rPr>
          <w:rFonts w:ascii="Times New Roman" w:eastAsia="Times New Roman" w:hAnsi="Times New Roman" w:cs="Times New Roman"/>
          <w:kern w:val="0"/>
          <w14:ligatures w14:val="none"/>
        </w:rPr>
        <w:br/>
      </w:r>
      <w:r w:rsidRPr="0013457E">
        <w:rPr>
          <w:rFonts w:ascii="Times New Roman" w:eastAsia="Times New Roman" w:hAnsi="Times New Roman" w:cs="Times New Roman"/>
          <w:kern w:val="0"/>
          <w14:ligatures w14:val="none"/>
        </w:rPr>
        <w:br/>
      </w:r>
      <w:r w:rsidRPr="0013457E">
        <w:rPr>
          <w:rFonts w:ascii="Times New Roman" w:eastAsia="Times New Roman" w:hAnsi="Times New Roman" w:cs="Times New Roman"/>
          <w:kern w:val="0"/>
          <w14:ligatures w14:val="none"/>
        </w:rPr>
        <w:br/>
      </w:r>
      <w:r w:rsidRPr="0013457E">
        <w:rPr>
          <w:rFonts w:ascii="Times New Roman" w:eastAsia="Times New Roman" w:hAnsi="Times New Roman" w:cs="Times New Roman"/>
          <w:kern w:val="0"/>
          <w14:ligatures w14:val="none"/>
        </w:rPr>
        <w:br/>
      </w:r>
    </w:p>
    <w:p w14:paraId="148D9268" w14:textId="77777777" w:rsidR="0013457E" w:rsidRPr="0013457E" w:rsidRDefault="0013457E" w:rsidP="0013457E">
      <w:pPr>
        <w:spacing w:after="0" w:line="480" w:lineRule="auto"/>
        <w:ind w:firstLine="720"/>
        <w:jc w:val="center"/>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Analytical flexibility in large language </w:t>
      </w:r>
      <w:proofErr w:type="gramStart"/>
      <w:r w:rsidRPr="0013457E">
        <w:rPr>
          <w:rFonts w:ascii="Times New Roman" w:eastAsia="Times New Roman" w:hAnsi="Times New Roman" w:cs="Times New Roman"/>
          <w:color w:val="000000"/>
          <w:kern w:val="0"/>
          <w:sz w:val="22"/>
          <w:szCs w:val="22"/>
          <w14:ligatures w14:val="none"/>
        </w:rPr>
        <w:t>model based</w:t>
      </w:r>
      <w:proofErr w:type="gramEnd"/>
      <w:r w:rsidRPr="0013457E">
        <w:rPr>
          <w:rFonts w:ascii="Times New Roman" w:eastAsia="Times New Roman" w:hAnsi="Times New Roman" w:cs="Times New Roman"/>
          <w:color w:val="000000"/>
          <w:kern w:val="0"/>
          <w:sz w:val="22"/>
          <w:szCs w:val="22"/>
          <w14:ligatures w14:val="none"/>
        </w:rPr>
        <w:t xml:space="preserve"> reviews</w:t>
      </w:r>
    </w:p>
    <w:p w14:paraId="16364D0A" w14:textId="77777777" w:rsidR="0013457E" w:rsidRPr="0013457E" w:rsidRDefault="0013457E" w:rsidP="0013457E">
      <w:pPr>
        <w:spacing w:after="0" w:line="480" w:lineRule="auto"/>
        <w:ind w:firstLine="720"/>
        <w:jc w:val="center"/>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Lars Schilling, Malte Elson &amp; Jamie Cummins</w:t>
      </w:r>
    </w:p>
    <w:p w14:paraId="3C364762" w14:textId="77777777" w:rsidR="0013457E" w:rsidRPr="0013457E" w:rsidRDefault="0013457E" w:rsidP="0013457E">
      <w:pPr>
        <w:spacing w:after="0" w:line="240" w:lineRule="auto"/>
        <w:rPr>
          <w:rFonts w:ascii="Times New Roman" w:eastAsia="Times New Roman" w:hAnsi="Times New Roman" w:cs="Times New Roman"/>
          <w:kern w:val="0"/>
          <w14:ligatures w14:val="none"/>
        </w:rPr>
      </w:pPr>
    </w:p>
    <w:p w14:paraId="095D50C6" w14:textId="77777777" w:rsidR="0013457E" w:rsidRPr="0013457E" w:rsidRDefault="0013457E" w:rsidP="0013457E">
      <w:pPr>
        <w:spacing w:after="0" w:line="480" w:lineRule="auto"/>
        <w:ind w:firstLine="720"/>
        <w:jc w:val="center"/>
        <w:rPr>
          <w:rFonts w:ascii="Times New Roman" w:eastAsia="Times New Roman" w:hAnsi="Times New Roman" w:cs="Times New Roman"/>
          <w:kern w:val="0"/>
          <w14:ligatures w14:val="none"/>
        </w:rPr>
      </w:pPr>
      <w:r w:rsidRPr="0013457E">
        <w:rPr>
          <w:rFonts w:ascii="Times New Roman" w:eastAsia="Times New Roman" w:hAnsi="Times New Roman" w:cs="Times New Roman"/>
          <w:i/>
          <w:iCs/>
          <w:color w:val="FF0000"/>
          <w:kern w:val="0"/>
          <w:sz w:val="22"/>
          <w:szCs w:val="22"/>
          <w14:ligatures w14:val="none"/>
        </w:rPr>
        <w:t>Pre-registration</w:t>
      </w:r>
    </w:p>
    <w:p w14:paraId="5BF06B0F" w14:textId="77777777" w:rsidR="0013457E" w:rsidRPr="0013457E" w:rsidRDefault="0013457E" w:rsidP="0013457E">
      <w:pPr>
        <w:spacing w:after="0" w:line="240" w:lineRule="auto"/>
        <w:rPr>
          <w:rFonts w:ascii="Times New Roman" w:eastAsia="Times New Roman" w:hAnsi="Times New Roman" w:cs="Times New Roman"/>
          <w:kern w:val="0"/>
          <w14:ligatures w14:val="none"/>
        </w:rPr>
      </w:pPr>
    </w:p>
    <w:p w14:paraId="314801F5" w14:textId="77777777" w:rsidR="0013457E" w:rsidRPr="0013457E" w:rsidRDefault="0013457E" w:rsidP="0013457E">
      <w:pPr>
        <w:spacing w:after="0" w:line="480" w:lineRule="auto"/>
        <w:jc w:val="center"/>
        <w:outlineLvl w:val="0"/>
        <w:rPr>
          <w:rFonts w:ascii="Times New Roman" w:eastAsia="Times New Roman" w:hAnsi="Times New Roman" w:cs="Times New Roman"/>
          <w:b/>
          <w:bCs/>
          <w:kern w:val="36"/>
          <w:sz w:val="48"/>
          <w:szCs w:val="48"/>
          <w14:ligatures w14:val="none"/>
        </w:rPr>
      </w:pPr>
      <w:r w:rsidRPr="0013457E">
        <w:rPr>
          <w:rFonts w:ascii="Times New Roman" w:eastAsia="Times New Roman" w:hAnsi="Times New Roman" w:cs="Times New Roman"/>
          <w:b/>
          <w:bCs/>
          <w:color w:val="000000"/>
          <w:kern w:val="36"/>
          <w:sz w:val="22"/>
          <w:szCs w:val="22"/>
          <w14:ligatures w14:val="none"/>
        </w:rPr>
        <w:t>Preamble</w:t>
      </w:r>
    </w:p>
    <w:p w14:paraId="327FCFDF"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Given that some of the text in the preregistration will be used in the final manuscript, we opt to write the description below in the past tense for the sake of efficiency. Readers should also note that we may allude to specific figures in the text (e.g., “Figure </w:t>
      </w:r>
      <w:r w:rsidRPr="0013457E">
        <w:rPr>
          <w:rFonts w:ascii="Times New Roman" w:eastAsia="Times New Roman" w:hAnsi="Times New Roman" w:cs="Times New Roman"/>
          <w:color w:val="000000"/>
          <w:kern w:val="0"/>
          <w:sz w:val="22"/>
          <w:szCs w:val="22"/>
          <w:shd w:val="clear" w:color="auto" w:fill="FFFF00"/>
          <w14:ligatures w14:val="none"/>
        </w:rPr>
        <w:t>XX</w:t>
      </w:r>
      <w:r w:rsidRPr="0013457E">
        <w:rPr>
          <w:rFonts w:ascii="Times New Roman" w:eastAsia="Times New Roman" w:hAnsi="Times New Roman" w:cs="Times New Roman"/>
          <w:color w:val="000000"/>
          <w:kern w:val="0"/>
          <w:sz w:val="22"/>
          <w:szCs w:val="22"/>
          <w14:ligatures w14:val="none"/>
        </w:rPr>
        <w:t>”). Note that this text represents placeholder text which will be completed in the final study manuscript</w:t>
      </w:r>
    </w:p>
    <w:p w14:paraId="6C567CDE" w14:textId="77777777" w:rsidR="0013457E" w:rsidRPr="0013457E" w:rsidRDefault="0013457E" w:rsidP="0013457E">
      <w:pPr>
        <w:spacing w:after="0" w:line="480" w:lineRule="auto"/>
        <w:jc w:val="center"/>
        <w:outlineLvl w:val="0"/>
        <w:rPr>
          <w:rFonts w:ascii="Times New Roman" w:eastAsia="Times New Roman" w:hAnsi="Times New Roman" w:cs="Times New Roman"/>
          <w:b/>
          <w:bCs/>
          <w:kern w:val="36"/>
          <w:sz w:val="48"/>
          <w:szCs w:val="48"/>
          <w14:ligatures w14:val="none"/>
        </w:rPr>
      </w:pPr>
      <w:r w:rsidRPr="0013457E">
        <w:rPr>
          <w:rFonts w:ascii="Times New Roman" w:eastAsia="Times New Roman" w:hAnsi="Times New Roman" w:cs="Times New Roman"/>
          <w:b/>
          <w:bCs/>
          <w:color w:val="000000"/>
          <w:kern w:val="36"/>
          <w:sz w:val="22"/>
          <w:szCs w:val="22"/>
          <w14:ligatures w14:val="none"/>
        </w:rPr>
        <w:t>Introduction</w:t>
      </w:r>
    </w:p>
    <w:p w14:paraId="4D014F34"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A swelling issue within psychological research is the volume of scholarly publications and the corresponding demand for peer review. Between 1980 and 2012, this output doubled, a trajectory projected to intensify (Bornmann &amp; Mutz, 2014). Consequently, by 2020, the global peer-review effort associated with these publications was estimated to exceed a monetary equivalent of 2 billion USD (Aczel et al., 2021). This mounting pressure led Breuning et al. (2015) to conceptualize the term </w:t>
      </w:r>
      <w:r w:rsidRPr="0013457E">
        <w:rPr>
          <w:rFonts w:ascii="Times New Roman" w:eastAsia="Times New Roman" w:hAnsi="Times New Roman" w:cs="Times New Roman"/>
          <w:i/>
          <w:iCs/>
          <w:color w:val="000000"/>
          <w:kern w:val="0"/>
          <w:sz w:val="22"/>
          <w:szCs w:val="22"/>
          <w14:ligatures w14:val="none"/>
        </w:rPr>
        <w:t>reviewer fatigue</w:t>
      </w:r>
      <w:r w:rsidRPr="0013457E">
        <w:rPr>
          <w:rFonts w:ascii="Times New Roman" w:eastAsia="Times New Roman" w:hAnsi="Times New Roman" w:cs="Times New Roman"/>
          <w:color w:val="000000"/>
          <w:kern w:val="0"/>
          <w:sz w:val="22"/>
          <w:szCs w:val="22"/>
          <w14:ligatures w14:val="none"/>
        </w:rPr>
        <w:t>, describing a state in which scholars increasingly decline review invitations as they become overextended by the sheer magnitude of requests.</w:t>
      </w:r>
    </w:p>
    <w:p w14:paraId="46484FCA"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As another observation, the adoption of large language models (LLMs) has accelerated significantly in recent years. Chatterji et al. (2025) reported that by July 2025, ChatGPT alone reached approximately 700 million users, representing roughly 10% of the global population. Consequently, LLMs have become a pervasive subject across various scientific disciplines, influencing the entire research lifecycle (Schmidgall et al., 2025). Psychological research is no exception; the field has been </w:t>
      </w:r>
      <w:r w:rsidRPr="0013457E">
        <w:rPr>
          <w:rFonts w:ascii="Times New Roman" w:eastAsia="Times New Roman" w:hAnsi="Times New Roman" w:cs="Times New Roman"/>
          <w:color w:val="000000"/>
          <w:kern w:val="0"/>
          <w:sz w:val="22"/>
          <w:szCs w:val="22"/>
          <w14:ligatures w14:val="none"/>
        </w:rPr>
        <w:lastRenderedPageBreak/>
        <w:t xml:space="preserve">profoundly affected by LLM applications. Some studies apply LLMs as a tool, such as to model cognition (Binz et al., 2025; </w:t>
      </w:r>
      <w:proofErr w:type="spellStart"/>
      <w:r w:rsidRPr="0013457E">
        <w:rPr>
          <w:rFonts w:ascii="Times New Roman" w:eastAsia="Times New Roman" w:hAnsi="Times New Roman" w:cs="Times New Roman"/>
          <w:color w:val="000000"/>
          <w:kern w:val="0"/>
          <w:sz w:val="22"/>
          <w:szCs w:val="22"/>
          <w14:ligatures w14:val="none"/>
        </w:rPr>
        <w:t>Milička</w:t>
      </w:r>
      <w:proofErr w:type="spellEnd"/>
      <w:r w:rsidRPr="0013457E">
        <w:rPr>
          <w:rFonts w:ascii="Times New Roman" w:eastAsia="Times New Roman" w:hAnsi="Times New Roman" w:cs="Times New Roman"/>
          <w:color w:val="000000"/>
          <w:kern w:val="0"/>
          <w:sz w:val="22"/>
          <w:szCs w:val="22"/>
          <w14:ligatures w14:val="none"/>
        </w:rPr>
        <w:t xml:space="preserve"> et al., 2024) Another stream applies LLMs as autonomous </w:t>
      </w:r>
      <w:proofErr w:type="gramStart"/>
      <w:r w:rsidRPr="0013457E">
        <w:rPr>
          <w:rFonts w:ascii="Times New Roman" w:eastAsia="Times New Roman" w:hAnsi="Times New Roman" w:cs="Times New Roman"/>
          <w:color w:val="000000"/>
          <w:kern w:val="0"/>
          <w:sz w:val="22"/>
          <w:szCs w:val="22"/>
          <w14:ligatures w14:val="none"/>
        </w:rPr>
        <w:t>agents ,</w:t>
      </w:r>
      <w:proofErr w:type="gramEnd"/>
      <w:r w:rsidRPr="0013457E">
        <w:rPr>
          <w:rFonts w:ascii="Times New Roman" w:eastAsia="Times New Roman" w:hAnsi="Times New Roman" w:cs="Times New Roman"/>
          <w:color w:val="000000"/>
          <w:kern w:val="0"/>
          <w:sz w:val="22"/>
          <w:szCs w:val="22"/>
          <w14:ligatures w14:val="none"/>
        </w:rPr>
        <w:t xml:space="preserve"> for example to generate data under certain constraints (Dillion et al., 2023; Hewitt et al., 2024).</w:t>
      </w:r>
    </w:p>
    <w:p w14:paraId="5F29C050"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Integrating LLMs as agents into the peer-review process might attenuate reviewer fatigue. LLMs can assist in predicting paper quality and acceptance rates or recommend reviewers to ensure a better alignment of expertise (Pendyala et al., 2025). Moreover, they could assume responsibility for specific components of the review or even generate entire reviews themselves (Yuan et al., 2021). Some research has yielded promising results regarding fully LLM-authored reviews, suggesting they can facilitate expeditious and constructive feedback (</w:t>
      </w:r>
      <w:proofErr w:type="spellStart"/>
      <w:r w:rsidRPr="0013457E">
        <w:rPr>
          <w:rFonts w:ascii="Times New Roman" w:eastAsia="Times New Roman" w:hAnsi="Times New Roman" w:cs="Times New Roman"/>
          <w:color w:val="000000"/>
          <w:kern w:val="0"/>
          <w:sz w:val="22"/>
          <w:szCs w:val="22"/>
          <w14:ligatures w14:val="none"/>
        </w:rPr>
        <w:t>Idahl</w:t>
      </w:r>
      <w:proofErr w:type="spellEnd"/>
      <w:r w:rsidRPr="0013457E">
        <w:rPr>
          <w:rFonts w:ascii="Times New Roman" w:eastAsia="Times New Roman" w:hAnsi="Times New Roman" w:cs="Times New Roman"/>
          <w:color w:val="000000"/>
          <w:kern w:val="0"/>
          <w:sz w:val="22"/>
          <w:szCs w:val="22"/>
          <w14:ligatures w14:val="none"/>
        </w:rPr>
        <w:t xml:space="preserve"> &amp; Ahmadi, 2025). Furthermore, evidence indicates that LLM-authored reviews can achieve parity with human experts in terms of depth (Liang et al., 2023), or in some instances provide even more comprehensive detail than their human counterpart (Yuan et al., 2021). However, some other scholars have identified shortcomings when LLMs function as autonomous review agents, such that they might exhibit self-bias, preferring text which was written by the judges themselves (Y. Liu et al., 2024) – while struggling to reliably detect errors (Son et al., 2024) or, in some instances, generating false-positive claims (R. Liu &amp; Shah, 2023). While the source of this divergence in literature remains unclear, it may be contingent upon specific, yet often undisclosed, methodological choices.</w:t>
      </w:r>
    </w:p>
    <w:p w14:paraId="5FC3A549"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In the broader context of psychological research, the presence of such choice options is called researcher degrees of freedom. These include, for example, decisions regarding which dependent variables, observations or treatments to incorporate or exclude during data collection and analysis. Such undisclosed flexibility can unexpectedly inflate the nominal false-positive rate (≤ 0.05) (Simmons et al., 2011). A recent overview by Stefan and Schönbrodt (2023) demonstrates how these degrees of freedom can be exploited to shift previously non-significant p-values below the threshold for significance. When performed intentionally, this practice is known as p-hacking, which consequently renders literature less replicable – a concern notably raised by Ioannidis (2005). For research including autonomous LLM agents, this issue is of comparable magnitude to conventional research, if not more impactful, as novel opportunities for researcher degrees of freedom emerge.</w:t>
      </w:r>
    </w:p>
    <w:p w14:paraId="6FA8D4C2"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lastRenderedPageBreak/>
        <w:t>Scholars have begun to recognize that varying configurations significantly influences outcomes. This includes, though is not limited to, the selection of model versions (</w:t>
      </w:r>
      <w:proofErr w:type="spellStart"/>
      <w:r w:rsidRPr="0013457E">
        <w:rPr>
          <w:rFonts w:ascii="Times New Roman" w:eastAsia="Times New Roman" w:hAnsi="Times New Roman" w:cs="Times New Roman"/>
          <w:color w:val="000000"/>
          <w:kern w:val="0"/>
          <w:sz w:val="22"/>
          <w:szCs w:val="22"/>
          <w14:ligatures w14:val="none"/>
        </w:rPr>
        <w:t>Stamatogiannakis</w:t>
      </w:r>
      <w:proofErr w:type="spellEnd"/>
      <w:r w:rsidRPr="0013457E">
        <w:rPr>
          <w:rFonts w:ascii="Times New Roman" w:eastAsia="Times New Roman" w:hAnsi="Times New Roman" w:cs="Times New Roman"/>
          <w:color w:val="000000"/>
          <w:kern w:val="0"/>
          <w:sz w:val="22"/>
          <w:szCs w:val="22"/>
          <w14:ligatures w14:val="none"/>
        </w:rPr>
        <w:t xml:space="preserve"> et al., 2025), tuning of hyperparameters such as the temperature (Li et al., 2025), calibration of reasoning effort (Cummins, 2025) and implementation of specific prompt techniques (Sclar et al., 2024). If these novel degrees of freedoms are ignored, we risk repeating the shortcomings of conventional research and end up with low replicability once again. Consequently, it remains unclear to what extent current findings in LLM-authored research have already been influenced by these undisclosed variables.</w:t>
      </w:r>
    </w:p>
    <w:p w14:paraId="3AF6FE41"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To date, only a single study has systematically investigated the influence of these undisclosed variables systematically; Cummins (2025) explored analytic flexibility within silicon sampling with varying model configurations, in particular model type, hyperparameter (temperature or reasoning effort), demographics used (none, minimal, extensive) and the prompt content (item by item, scale by scale, all at once). The outcome revealed that the distributional and relational properties of silicon samples are contingent upon configurational choices, underscoring the potential for analytical flexibility to shift results.</w:t>
      </w:r>
    </w:p>
    <w:p w14:paraId="3084CD1F"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Both this systematic investigation and the current state of literature regarding LLM-authored reviews warrant an investigation into the influence of analytic flexibility for this domain. Consequently, in the current study we adopted an analogous framework to examine whether a comparable degree of flexibility exists in the context of LLM-authored reviews. We systematically manipulated several configurational settings, including </w:t>
      </w:r>
      <w:r w:rsidRPr="0013457E">
        <w:rPr>
          <w:rFonts w:ascii="Times New Roman" w:eastAsia="Times New Roman" w:hAnsi="Times New Roman" w:cs="Times New Roman"/>
          <w:i/>
          <w:iCs/>
          <w:color w:val="000000"/>
          <w:kern w:val="0"/>
          <w:sz w:val="22"/>
          <w:szCs w:val="22"/>
          <w14:ligatures w14:val="none"/>
        </w:rPr>
        <w:t>model architecture</w:t>
      </w:r>
      <w:r w:rsidRPr="0013457E">
        <w:rPr>
          <w:rFonts w:ascii="Times New Roman" w:eastAsia="Times New Roman" w:hAnsi="Times New Roman" w:cs="Times New Roman"/>
          <w:color w:val="000000"/>
          <w:kern w:val="0"/>
          <w:sz w:val="22"/>
          <w:szCs w:val="22"/>
          <w14:ligatures w14:val="none"/>
        </w:rPr>
        <w:t xml:space="preserve">, </w:t>
      </w:r>
      <w:r w:rsidRPr="0013457E">
        <w:rPr>
          <w:rFonts w:ascii="Times New Roman" w:eastAsia="Times New Roman" w:hAnsi="Times New Roman" w:cs="Times New Roman"/>
          <w:i/>
          <w:iCs/>
          <w:color w:val="000000"/>
          <w:kern w:val="0"/>
          <w:sz w:val="22"/>
          <w:szCs w:val="22"/>
          <w14:ligatures w14:val="none"/>
        </w:rPr>
        <w:t>hyperparameter</w:t>
      </w:r>
      <w:r w:rsidRPr="0013457E">
        <w:rPr>
          <w:rFonts w:ascii="Times New Roman" w:eastAsia="Times New Roman" w:hAnsi="Times New Roman" w:cs="Times New Roman"/>
          <w:color w:val="000000"/>
          <w:kern w:val="0"/>
          <w:sz w:val="22"/>
          <w:szCs w:val="22"/>
          <w14:ligatures w14:val="none"/>
        </w:rPr>
        <w:t xml:space="preserve"> (temperature or reasoning effort), the implementation of </w:t>
      </w:r>
      <w:r w:rsidRPr="0013457E">
        <w:rPr>
          <w:rFonts w:ascii="Times New Roman" w:eastAsia="Times New Roman" w:hAnsi="Times New Roman" w:cs="Times New Roman"/>
          <w:i/>
          <w:iCs/>
          <w:color w:val="000000"/>
          <w:kern w:val="0"/>
          <w:sz w:val="22"/>
          <w:szCs w:val="22"/>
          <w14:ligatures w14:val="none"/>
        </w:rPr>
        <w:t>chain of thought</w:t>
      </w:r>
      <w:r w:rsidRPr="0013457E">
        <w:rPr>
          <w:rFonts w:ascii="Times New Roman" w:eastAsia="Times New Roman" w:hAnsi="Times New Roman" w:cs="Times New Roman"/>
          <w:color w:val="000000"/>
          <w:kern w:val="0"/>
          <w:sz w:val="22"/>
          <w:szCs w:val="22"/>
          <w14:ligatures w14:val="none"/>
        </w:rPr>
        <w:t xml:space="preserve"> (</w:t>
      </w:r>
      <w:proofErr w:type="spellStart"/>
      <w:r w:rsidRPr="0013457E">
        <w:rPr>
          <w:rFonts w:ascii="Times New Roman" w:eastAsia="Times New Roman" w:hAnsi="Times New Roman" w:cs="Times New Roman"/>
          <w:color w:val="000000"/>
          <w:kern w:val="0"/>
          <w:sz w:val="22"/>
          <w:szCs w:val="22"/>
          <w14:ligatures w14:val="none"/>
        </w:rPr>
        <w:t>CoT</w:t>
      </w:r>
      <w:proofErr w:type="spellEnd"/>
      <w:r w:rsidRPr="0013457E">
        <w:rPr>
          <w:rFonts w:ascii="Times New Roman" w:eastAsia="Times New Roman" w:hAnsi="Times New Roman" w:cs="Times New Roman"/>
          <w:color w:val="000000"/>
          <w:kern w:val="0"/>
          <w:sz w:val="22"/>
          <w:szCs w:val="22"/>
          <w14:ligatures w14:val="none"/>
        </w:rPr>
        <w:t xml:space="preserve">) prompting (Kojima et al., 2023; Wei et al., 2023) and the intermediate step of </w:t>
      </w:r>
      <w:proofErr w:type="gramStart"/>
      <w:r w:rsidRPr="0013457E">
        <w:rPr>
          <w:rFonts w:ascii="Times New Roman" w:eastAsia="Times New Roman" w:hAnsi="Times New Roman" w:cs="Times New Roman"/>
          <w:i/>
          <w:iCs/>
          <w:color w:val="000000"/>
          <w:kern w:val="0"/>
          <w:sz w:val="22"/>
          <w:szCs w:val="22"/>
          <w14:ligatures w14:val="none"/>
        </w:rPr>
        <w:t>note-taking</w:t>
      </w:r>
      <w:proofErr w:type="gramEnd"/>
      <w:r w:rsidRPr="0013457E">
        <w:rPr>
          <w:rFonts w:ascii="Times New Roman" w:eastAsia="Times New Roman" w:hAnsi="Times New Roman" w:cs="Times New Roman"/>
          <w:color w:val="000000"/>
          <w:kern w:val="0"/>
          <w:sz w:val="22"/>
          <w:szCs w:val="22"/>
          <w14:ligatures w14:val="none"/>
        </w:rPr>
        <w:t xml:space="preserve"> (Robertson &amp; </w:t>
      </w:r>
      <w:proofErr w:type="spellStart"/>
      <w:r w:rsidRPr="0013457E">
        <w:rPr>
          <w:rFonts w:ascii="Times New Roman" w:eastAsia="Times New Roman" w:hAnsi="Times New Roman" w:cs="Times New Roman"/>
          <w:color w:val="000000"/>
          <w:kern w:val="0"/>
          <w:sz w:val="22"/>
          <w:szCs w:val="22"/>
          <w14:ligatures w14:val="none"/>
        </w:rPr>
        <w:t>Koyejo</w:t>
      </w:r>
      <w:proofErr w:type="spellEnd"/>
      <w:r w:rsidRPr="0013457E">
        <w:rPr>
          <w:rFonts w:ascii="Times New Roman" w:eastAsia="Times New Roman" w:hAnsi="Times New Roman" w:cs="Times New Roman"/>
          <w:color w:val="000000"/>
          <w:kern w:val="0"/>
          <w:sz w:val="22"/>
          <w:szCs w:val="22"/>
          <w14:ligatures w14:val="none"/>
        </w:rPr>
        <w:t>, 2025). These dimensions were selected because they represent unavoidable researcher degrees of freedom; decisions regarding model architecture, the hyperparameters, the user prompt and a potential intermediate step, as for example note-taking, are fundamental to any LLM-based workflow.</w:t>
      </w:r>
    </w:p>
    <w:p w14:paraId="71BDD901"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To assess the quality of LLM-authored reviews we applied the LLM-as-a-judge paradigm (Chen et al., 2024). </w:t>
      </w:r>
      <w:proofErr w:type="gramStart"/>
      <w:r w:rsidRPr="0013457E">
        <w:rPr>
          <w:rFonts w:ascii="Times New Roman" w:eastAsia="Times New Roman" w:hAnsi="Times New Roman" w:cs="Times New Roman"/>
          <w:color w:val="000000"/>
          <w:kern w:val="0"/>
          <w:sz w:val="22"/>
          <w:szCs w:val="22"/>
          <w14:ligatures w14:val="none"/>
        </w:rPr>
        <w:t>In particular we</w:t>
      </w:r>
      <w:proofErr w:type="gramEnd"/>
      <w:r w:rsidRPr="0013457E">
        <w:rPr>
          <w:rFonts w:ascii="Times New Roman" w:eastAsia="Times New Roman" w:hAnsi="Times New Roman" w:cs="Times New Roman"/>
          <w:color w:val="000000"/>
          <w:kern w:val="0"/>
          <w:sz w:val="22"/>
          <w:szCs w:val="22"/>
          <w14:ligatures w14:val="none"/>
        </w:rPr>
        <w:t xml:space="preserve"> applied the </w:t>
      </w:r>
      <w:r w:rsidRPr="0013457E">
        <w:rPr>
          <w:rFonts w:ascii="Times New Roman" w:eastAsia="Times New Roman" w:hAnsi="Times New Roman" w:cs="Times New Roman"/>
          <w:i/>
          <w:iCs/>
          <w:color w:val="000000"/>
          <w:kern w:val="0"/>
          <w:sz w:val="22"/>
          <w:szCs w:val="22"/>
          <w14:ligatures w14:val="none"/>
        </w:rPr>
        <w:t>score-only</w:t>
      </w:r>
      <w:r w:rsidRPr="0013457E">
        <w:rPr>
          <w:rFonts w:ascii="Times New Roman" w:eastAsia="Times New Roman" w:hAnsi="Times New Roman" w:cs="Times New Roman"/>
          <w:color w:val="000000"/>
          <w:kern w:val="0"/>
          <w:sz w:val="22"/>
          <w:szCs w:val="22"/>
          <w14:ligatures w14:val="none"/>
        </w:rPr>
        <w:t xml:space="preserve"> fine-tuned Llama-3.1-8B model provided by </w:t>
      </w:r>
      <w:proofErr w:type="spellStart"/>
      <w:r w:rsidRPr="0013457E">
        <w:rPr>
          <w:rFonts w:ascii="Times New Roman" w:eastAsia="Times New Roman" w:hAnsi="Times New Roman" w:cs="Times New Roman"/>
          <w:color w:val="000000"/>
          <w:kern w:val="0"/>
          <w:sz w:val="22"/>
          <w:szCs w:val="22"/>
          <w14:ligatures w14:val="none"/>
        </w:rPr>
        <w:t>Sadallah</w:t>
      </w:r>
      <w:proofErr w:type="spellEnd"/>
      <w:r w:rsidRPr="0013457E">
        <w:rPr>
          <w:rFonts w:ascii="Times New Roman" w:eastAsia="Times New Roman" w:hAnsi="Times New Roman" w:cs="Times New Roman"/>
          <w:color w:val="000000"/>
          <w:kern w:val="0"/>
          <w:sz w:val="22"/>
          <w:szCs w:val="22"/>
          <w14:ligatures w14:val="none"/>
        </w:rPr>
        <w:t xml:space="preserve"> </w:t>
      </w:r>
      <w:r w:rsidRPr="0013457E">
        <w:rPr>
          <w:rFonts w:ascii="Times New Roman" w:eastAsia="Times New Roman" w:hAnsi="Times New Roman" w:cs="Times New Roman"/>
          <w:color w:val="000000"/>
          <w:kern w:val="0"/>
          <w:sz w:val="22"/>
          <w:szCs w:val="22"/>
          <w14:ligatures w14:val="none"/>
        </w:rPr>
        <w:lastRenderedPageBreak/>
        <w:t xml:space="preserve">et al. (2025), which judged each single comment of the review’s weakness section on the four dimensions </w:t>
      </w:r>
      <w:r w:rsidRPr="0013457E">
        <w:rPr>
          <w:rFonts w:ascii="Times New Roman" w:eastAsia="Times New Roman" w:hAnsi="Times New Roman" w:cs="Times New Roman"/>
          <w:i/>
          <w:iCs/>
          <w:color w:val="000000"/>
          <w:kern w:val="0"/>
          <w:sz w:val="22"/>
          <w:szCs w:val="22"/>
          <w14:ligatures w14:val="none"/>
        </w:rPr>
        <w:t>actionability</w:t>
      </w:r>
      <w:r w:rsidRPr="0013457E">
        <w:rPr>
          <w:rFonts w:ascii="Times New Roman" w:eastAsia="Times New Roman" w:hAnsi="Times New Roman" w:cs="Times New Roman"/>
          <w:color w:val="000000"/>
          <w:kern w:val="0"/>
          <w:sz w:val="22"/>
          <w:szCs w:val="22"/>
          <w14:ligatures w14:val="none"/>
        </w:rPr>
        <w:t xml:space="preserve">, grounding &amp; </w:t>
      </w:r>
      <w:r w:rsidRPr="0013457E">
        <w:rPr>
          <w:rFonts w:ascii="Times New Roman" w:eastAsia="Times New Roman" w:hAnsi="Times New Roman" w:cs="Times New Roman"/>
          <w:i/>
          <w:iCs/>
          <w:color w:val="000000"/>
          <w:kern w:val="0"/>
          <w:sz w:val="22"/>
          <w:szCs w:val="22"/>
          <w14:ligatures w14:val="none"/>
        </w:rPr>
        <w:t>specificity</w:t>
      </w:r>
      <w:r w:rsidRPr="0013457E">
        <w:rPr>
          <w:rFonts w:ascii="Times New Roman" w:eastAsia="Times New Roman" w:hAnsi="Times New Roman" w:cs="Times New Roman"/>
          <w:color w:val="000000"/>
          <w:kern w:val="0"/>
          <w:sz w:val="22"/>
          <w:szCs w:val="22"/>
          <w14:ligatures w14:val="none"/>
        </w:rPr>
        <w:t xml:space="preserve">, </w:t>
      </w:r>
      <w:r w:rsidRPr="0013457E">
        <w:rPr>
          <w:rFonts w:ascii="Times New Roman" w:eastAsia="Times New Roman" w:hAnsi="Times New Roman" w:cs="Times New Roman"/>
          <w:i/>
          <w:iCs/>
          <w:color w:val="000000"/>
          <w:kern w:val="0"/>
          <w:sz w:val="22"/>
          <w:szCs w:val="22"/>
          <w14:ligatures w14:val="none"/>
        </w:rPr>
        <w:t>verifiability and helpfulness</w:t>
      </w:r>
      <w:r w:rsidRPr="0013457E">
        <w:rPr>
          <w:rFonts w:ascii="Times New Roman" w:eastAsia="Times New Roman" w:hAnsi="Times New Roman" w:cs="Times New Roman"/>
          <w:color w:val="000000"/>
          <w:kern w:val="0"/>
          <w:sz w:val="22"/>
          <w:szCs w:val="22"/>
          <w14:ligatures w14:val="none"/>
        </w:rPr>
        <w:t>.</w:t>
      </w:r>
    </w:p>
    <w:p w14:paraId="1B3AE4CA"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Furthermore, to evaluate the sensitivity of the review content independently of its external quality assessment, we analyzed the sensitivity of the internal evaluative judgement assigned within each review. Specifically, we examined the scores provided for </w:t>
      </w:r>
      <w:r w:rsidRPr="0013457E">
        <w:rPr>
          <w:rFonts w:ascii="Times New Roman" w:eastAsia="Times New Roman" w:hAnsi="Times New Roman" w:cs="Times New Roman"/>
          <w:i/>
          <w:iCs/>
          <w:color w:val="000000"/>
          <w:kern w:val="0"/>
          <w:sz w:val="22"/>
          <w:szCs w:val="22"/>
          <w14:ligatures w14:val="none"/>
        </w:rPr>
        <w:t>correctness</w:t>
      </w:r>
      <w:r w:rsidRPr="0013457E">
        <w:rPr>
          <w:rFonts w:ascii="Times New Roman" w:eastAsia="Times New Roman" w:hAnsi="Times New Roman" w:cs="Times New Roman"/>
          <w:color w:val="000000"/>
          <w:kern w:val="0"/>
          <w:sz w:val="22"/>
          <w:szCs w:val="22"/>
          <w14:ligatures w14:val="none"/>
        </w:rPr>
        <w:t xml:space="preserve">, </w:t>
      </w:r>
      <w:r w:rsidRPr="0013457E">
        <w:rPr>
          <w:rFonts w:ascii="Times New Roman" w:eastAsia="Times New Roman" w:hAnsi="Times New Roman" w:cs="Times New Roman"/>
          <w:i/>
          <w:iCs/>
          <w:color w:val="000000"/>
          <w:kern w:val="0"/>
          <w:sz w:val="22"/>
          <w:szCs w:val="22"/>
          <w14:ligatures w14:val="none"/>
        </w:rPr>
        <w:t>empirical novelty</w:t>
      </w:r>
      <w:r w:rsidRPr="0013457E">
        <w:rPr>
          <w:rFonts w:ascii="Times New Roman" w:eastAsia="Times New Roman" w:hAnsi="Times New Roman" w:cs="Times New Roman"/>
          <w:color w:val="000000"/>
          <w:kern w:val="0"/>
          <w:sz w:val="22"/>
          <w:szCs w:val="22"/>
          <w14:ligatures w14:val="none"/>
        </w:rPr>
        <w:t xml:space="preserve"> and </w:t>
      </w:r>
      <w:r w:rsidRPr="0013457E">
        <w:rPr>
          <w:rFonts w:ascii="Times New Roman" w:eastAsia="Times New Roman" w:hAnsi="Times New Roman" w:cs="Times New Roman"/>
          <w:i/>
          <w:iCs/>
          <w:color w:val="000000"/>
          <w:kern w:val="0"/>
          <w:sz w:val="22"/>
          <w:szCs w:val="22"/>
          <w14:ligatures w14:val="none"/>
        </w:rPr>
        <w:t>technical novelty</w:t>
      </w:r>
      <w:r w:rsidRPr="0013457E">
        <w:rPr>
          <w:rFonts w:ascii="Times New Roman" w:eastAsia="Times New Roman" w:hAnsi="Times New Roman" w:cs="Times New Roman"/>
          <w:color w:val="000000"/>
          <w:kern w:val="0"/>
          <w:sz w:val="22"/>
          <w:szCs w:val="22"/>
          <w14:ligatures w14:val="none"/>
        </w:rPr>
        <w:t>. This metric allowed us to determine how configurational changes influence generated reviews without any additional, external judge.</w:t>
      </w:r>
    </w:p>
    <w:p w14:paraId="3D67E2BD"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Lastly, we evaluated the operational success rate of LLM-authored reviews. This metric served as a foundational quality gate; by first ensuring structural integrity, we could verify that any observed sensitivity in our primary performance metrics reflected the LLM-authored review itself rather than a technical artifact of inconsistent generation.</w:t>
      </w:r>
    </w:p>
    <w:p w14:paraId="55723FD4"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As detailed below, this study was guided by three primary research questions. All of them examined the extent to which analytic flexibility within LLM configurations influences research outcomes; Specifically, the first research question investigated whether LLM-authored reviews exhibit significant sensitivity in their quality across different configurations, while the second research question did so for the internal evaluation indices within each review. The third research question investigated whether LLMs exhibit significant sensitivity in their operational success rate to generate structured reviews across different configurations in the first place.</w:t>
      </w:r>
    </w:p>
    <w:p w14:paraId="1B0799AF" w14:textId="77777777" w:rsidR="0013457E" w:rsidRPr="0013457E" w:rsidRDefault="0013457E" w:rsidP="0013457E">
      <w:pPr>
        <w:spacing w:after="0" w:line="480" w:lineRule="auto"/>
        <w:jc w:val="center"/>
        <w:outlineLvl w:val="0"/>
        <w:rPr>
          <w:rFonts w:ascii="Times New Roman" w:eastAsia="Times New Roman" w:hAnsi="Times New Roman" w:cs="Times New Roman"/>
          <w:b/>
          <w:bCs/>
          <w:kern w:val="36"/>
          <w:sz w:val="48"/>
          <w:szCs w:val="48"/>
          <w14:ligatures w14:val="none"/>
        </w:rPr>
      </w:pPr>
      <w:r w:rsidRPr="0013457E">
        <w:rPr>
          <w:rFonts w:ascii="Times New Roman" w:eastAsia="Times New Roman" w:hAnsi="Times New Roman" w:cs="Times New Roman"/>
          <w:b/>
          <w:bCs/>
          <w:color w:val="000000"/>
          <w:kern w:val="36"/>
          <w:sz w:val="22"/>
          <w:szCs w:val="22"/>
          <w14:ligatures w14:val="none"/>
        </w:rPr>
        <w:t>Method</w:t>
      </w:r>
    </w:p>
    <w:p w14:paraId="0D9F971C" w14:textId="77777777" w:rsidR="0013457E" w:rsidRPr="0013457E" w:rsidRDefault="0013457E" w:rsidP="0013457E">
      <w:pPr>
        <w:spacing w:after="0" w:line="480" w:lineRule="auto"/>
        <w:outlineLvl w:val="1"/>
        <w:rPr>
          <w:rFonts w:ascii="Times New Roman" w:eastAsia="Times New Roman" w:hAnsi="Times New Roman" w:cs="Times New Roman"/>
          <w:b/>
          <w:bCs/>
          <w:kern w:val="0"/>
          <w:sz w:val="36"/>
          <w:szCs w:val="36"/>
          <w14:ligatures w14:val="none"/>
        </w:rPr>
      </w:pPr>
      <w:r w:rsidRPr="0013457E">
        <w:rPr>
          <w:rFonts w:ascii="Times New Roman" w:eastAsia="Times New Roman" w:hAnsi="Times New Roman" w:cs="Times New Roman"/>
          <w:b/>
          <w:bCs/>
          <w:color w:val="000000"/>
          <w:kern w:val="0"/>
          <w:sz w:val="22"/>
          <w:szCs w:val="22"/>
          <w14:ligatures w14:val="none"/>
        </w:rPr>
        <w:t>Sample</w:t>
      </w:r>
    </w:p>
    <w:p w14:paraId="3E74BA0E"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The test sample for these analyses was derived from the publicly available peer review data from ICLR 2023, hosted on </w:t>
      </w:r>
      <w:hyperlink r:id="rId4" w:history="1">
        <w:proofErr w:type="spellStart"/>
        <w:r w:rsidRPr="0013457E">
          <w:rPr>
            <w:rFonts w:ascii="Times New Roman" w:eastAsia="Times New Roman" w:hAnsi="Times New Roman" w:cs="Times New Roman"/>
            <w:color w:val="0000FF"/>
            <w:kern w:val="0"/>
            <w:sz w:val="22"/>
            <w:szCs w:val="22"/>
            <w:u w:val="single"/>
            <w14:ligatures w14:val="none"/>
          </w:rPr>
          <w:t>OpenReview</w:t>
        </w:r>
        <w:proofErr w:type="spellEnd"/>
      </w:hyperlink>
      <w:r w:rsidRPr="0013457E">
        <w:rPr>
          <w:rFonts w:ascii="Times New Roman" w:eastAsia="Times New Roman" w:hAnsi="Times New Roman" w:cs="Times New Roman"/>
          <w:color w:val="000000"/>
          <w:kern w:val="0"/>
          <w:sz w:val="22"/>
          <w:szCs w:val="22"/>
          <w14:ligatures w14:val="none"/>
        </w:rPr>
        <w:t>. The data collection process followed the methodology applied by Xu et al. (</w:t>
      </w:r>
      <w:hyperlink r:id="rId5" w:history="1">
        <w:r w:rsidRPr="0013457E">
          <w:rPr>
            <w:rFonts w:ascii="Times New Roman" w:eastAsia="Times New Roman" w:hAnsi="Times New Roman" w:cs="Times New Roman"/>
            <w:color w:val="0000FF"/>
            <w:kern w:val="0"/>
            <w:sz w:val="22"/>
            <w:szCs w:val="22"/>
            <w:u w:val="single"/>
            <w14:ligatures w14:val="none"/>
          </w:rPr>
          <w:t>2024</w:t>
        </w:r>
      </w:hyperlink>
      <w:r w:rsidRPr="0013457E">
        <w:rPr>
          <w:rFonts w:ascii="Times New Roman" w:eastAsia="Times New Roman" w:hAnsi="Times New Roman" w:cs="Times New Roman"/>
          <w:color w:val="000000"/>
          <w:kern w:val="0"/>
          <w:sz w:val="22"/>
          <w:szCs w:val="22"/>
          <w14:ligatures w14:val="none"/>
        </w:rPr>
        <w:t xml:space="preserve">). While an initial sample of 100 papers was targeted, two papers could not be successfully parsed from the raw PDF into text format using our planned parsing method (GROBID) – a limitation also reported by Xu et al (2024). As a secondary measure, text extraction for these two papers was attempted using the DPT-2 model from </w:t>
      </w:r>
      <w:proofErr w:type="spellStart"/>
      <w:r w:rsidRPr="0013457E">
        <w:rPr>
          <w:rFonts w:ascii="Times New Roman" w:eastAsia="Times New Roman" w:hAnsi="Times New Roman" w:cs="Times New Roman"/>
          <w:color w:val="000000"/>
          <w:kern w:val="0"/>
          <w:sz w:val="22"/>
          <w:szCs w:val="22"/>
          <w14:ligatures w14:val="none"/>
        </w:rPr>
        <w:t>LandingAI</w:t>
      </w:r>
      <w:proofErr w:type="spellEnd"/>
      <w:r w:rsidRPr="0013457E">
        <w:rPr>
          <w:rFonts w:ascii="Times New Roman" w:eastAsia="Times New Roman" w:hAnsi="Times New Roman" w:cs="Times New Roman"/>
          <w:color w:val="000000"/>
          <w:kern w:val="0"/>
          <w:sz w:val="22"/>
          <w:szCs w:val="22"/>
          <w14:ligatures w14:val="none"/>
        </w:rPr>
        <w:t xml:space="preserve"> (REF), which likewise proved unsuccessful. </w:t>
      </w:r>
      <w:r w:rsidRPr="0013457E">
        <w:rPr>
          <w:rFonts w:ascii="Times New Roman" w:eastAsia="Times New Roman" w:hAnsi="Times New Roman" w:cs="Times New Roman"/>
          <w:color w:val="000000"/>
          <w:kern w:val="0"/>
          <w:sz w:val="22"/>
          <w:szCs w:val="22"/>
          <w14:ligatures w14:val="none"/>
        </w:rPr>
        <w:lastRenderedPageBreak/>
        <w:t>Consequently, these papers were excluded, resulting in a final test sample of 98 papers. Following Xu et al. (2024), we maintained the inclusion criterion that each paper must have at least three human-written reviews. Although this condition was not strictly necessary for the current study, it was retained to ensure the dataset remains compatible with this and other analysis on the ICLR dataset.</w:t>
      </w:r>
    </w:p>
    <w:p w14:paraId="1F127D5C" w14:textId="77777777" w:rsidR="0013457E" w:rsidRPr="0013457E" w:rsidRDefault="0013457E" w:rsidP="0013457E">
      <w:pPr>
        <w:spacing w:after="0" w:line="480" w:lineRule="auto"/>
        <w:outlineLvl w:val="1"/>
        <w:rPr>
          <w:rFonts w:ascii="Times New Roman" w:eastAsia="Times New Roman" w:hAnsi="Times New Roman" w:cs="Times New Roman"/>
          <w:b/>
          <w:bCs/>
          <w:kern w:val="0"/>
          <w:sz w:val="36"/>
          <w:szCs w:val="36"/>
          <w14:ligatures w14:val="none"/>
        </w:rPr>
      </w:pPr>
      <w:r w:rsidRPr="0013457E">
        <w:rPr>
          <w:rFonts w:ascii="Times New Roman" w:eastAsia="Times New Roman" w:hAnsi="Times New Roman" w:cs="Times New Roman"/>
          <w:b/>
          <w:bCs/>
          <w:color w:val="000000"/>
          <w:kern w:val="0"/>
          <w:sz w:val="22"/>
          <w:szCs w:val="22"/>
          <w14:ligatures w14:val="none"/>
        </w:rPr>
        <w:t>Prior knowledge of the dataset &amp; method of developing the code</w:t>
      </w:r>
    </w:p>
    <w:p w14:paraId="235FF6D5"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The code for the workflow to obtain LLM-authored reviews and scores for their quality was synthesized from two primary methodological frameworks. The infrastructure for managing API calls across varying configuration was adapted from Cummins (</w:t>
      </w:r>
      <w:hyperlink r:id="rId6" w:history="1">
        <w:r w:rsidRPr="0013457E">
          <w:rPr>
            <w:rFonts w:ascii="Times New Roman" w:eastAsia="Times New Roman" w:hAnsi="Times New Roman" w:cs="Times New Roman"/>
            <w:color w:val="0000FF"/>
            <w:kern w:val="0"/>
            <w:sz w:val="22"/>
            <w:szCs w:val="22"/>
            <w:u w:val="single"/>
            <w14:ligatures w14:val="none"/>
          </w:rPr>
          <w:t>2025</w:t>
        </w:r>
      </w:hyperlink>
      <w:r w:rsidRPr="0013457E">
        <w:rPr>
          <w:rFonts w:ascii="Times New Roman" w:eastAsia="Times New Roman" w:hAnsi="Times New Roman" w:cs="Times New Roman"/>
          <w:color w:val="000000"/>
          <w:kern w:val="0"/>
          <w:sz w:val="22"/>
          <w:szCs w:val="22"/>
          <w14:ligatures w14:val="none"/>
        </w:rPr>
        <w:t xml:space="preserve">). Prompt related parts of the review generation setup were aligned to Robertson and </w:t>
      </w:r>
      <w:proofErr w:type="spellStart"/>
      <w:r w:rsidRPr="0013457E">
        <w:rPr>
          <w:rFonts w:ascii="Times New Roman" w:eastAsia="Times New Roman" w:hAnsi="Times New Roman" w:cs="Times New Roman"/>
          <w:color w:val="000000"/>
          <w:kern w:val="0"/>
          <w:sz w:val="22"/>
          <w:szCs w:val="22"/>
          <w14:ligatures w14:val="none"/>
        </w:rPr>
        <w:t>Koyejo</w:t>
      </w:r>
      <w:proofErr w:type="spellEnd"/>
      <w:r w:rsidRPr="0013457E">
        <w:rPr>
          <w:rFonts w:ascii="Times New Roman" w:eastAsia="Times New Roman" w:hAnsi="Times New Roman" w:cs="Times New Roman"/>
          <w:color w:val="000000"/>
          <w:kern w:val="0"/>
          <w:sz w:val="22"/>
          <w:szCs w:val="22"/>
          <w14:ligatures w14:val="none"/>
        </w:rPr>
        <w:t xml:space="preserve"> (</w:t>
      </w:r>
      <w:hyperlink r:id="rId7" w:history="1">
        <w:r w:rsidRPr="0013457E">
          <w:rPr>
            <w:rFonts w:ascii="Times New Roman" w:eastAsia="Times New Roman" w:hAnsi="Times New Roman" w:cs="Times New Roman"/>
            <w:color w:val="0000FF"/>
            <w:kern w:val="0"/>
            <w:sz w:val="22"/>
            <w:szCs w:val="22"/>
            <w:u w:val="single"/>
            <w14:ligatures w14:val="none"/>
          </w:rPr>
          <w:t>2025</w:t>
        </w:r>
      </w:hyperlink>
      <w:r w:rsidRPr="0013457E">
        <w:rPr>
          <w:rFonts w:ascii="Times New Roman" w:eastAsia="Times New Roman" w:hAnsi="Times New Roman" w:cs="Times New Roman"/>
          <w:color w:val="000000"/>
          <w:kern w:val="0"/>
          <w:sz w:val="22"/>
          <w:szCs w:val="22"/>
          <w14:ligatures w14:val="none"/>
        </w:rPr>
        <w:t xml:space="preserve">), while the review judgement process was aligned to </w:t>
      </w:r>
      <w:proofErr w:type="spellStart"/>
      <w:r w:rsidRPr="0013457E">
        <w:rPr>
          <w:rFonts w:ascii="Times New Roman" w:eastAsia="Times New Roman" w:hAnsi="Times New Roman" w:cs="Times New Roman"/>
          <w:color w:val="000000"/>
          <w:kern w:val="0"/>
          <w:sz w:val="22"/>
          <w:szCs w:val="22"/>
          <w14:ligatures w14:val="none"/>
        </w:rPr>
        <w:t>Sadallah</w:t>
      </w:r>
      <w:proofErr w:type="spellEnd"/>
      <w:r w:rsidRPr="0013457E">
        <w:rPr>
          <w:rFonts w:ascii="Times New Roman" w:eastAsia="Times New Roman" w:hAnsi="Times New Roman" w:cs="Times New Roman"/>
          <w:color w:val="000000"/>
          <w:kern w:val="0"/>
          <w:sz w:val="22"/>
          <w:szCs w:val="22"/>
          <w14:ligatures w14:val="none"/>
        </w:rPr>
        <w:t xml:space="preserve"> et al. (</w:t>
      </w:r>
      <w:hyperlink r:id="rId8" w:history="1">
        <w:r w:rsidRPr="0013457E">
          <w:rPr>
            <w:rFonts w:ascii="Times New Roman" w:eastAsia="Times New Roman" w:hAnsi="Times New Roman" w:cs="Times New Roman"/>
            <w:color w:val="0000FF"/>
            <w:kern w:val="0"/>
            <w:sz w:val="22"/>
            <w:szCs w:val="22"/>
            <w:u w:val="single"/>
            <w14:ligatures w14:val="none"/>
          </w:rPr>
          <w:t>2025</w:t>
        </w:r>
      </w:hyperlink>
      <w:r w:rsidRPr="0013457E">
        <w:rPr>
          <w:rFonts w:ascii="Times New Roman" w:eastAsia="Times New Roman" w:hAnsi="Times New Roman" w:cs="Times New Roman"/>
          <w:color w:val="000000"/>
          <w:kern w:val="0"/>
          <w:sz w:val="22"/>
          <w:szCs w:val="22"/>
          <w14:ligatures w14:val="none"/>
        </w:rPr>
        <w:t>).</w:t>
      </w:r>
    </w:p>
    <w:p w14:paraId="338D1D00"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However, several modifications were made to the original setup to accommodate our specific experimental design. To clearly identify reviews claims about weaknesses and we utilized a </w:t>
      </w:r>
      <w:proofErr w:type="spellStart"/>
      <w:r w:rsidRPr="0013457E">
        <w:rPr>
          <w:rFonts w:ascii="Times New Roman" w:eastAsia="Times New Roman" w:hAnsi="Times New Roman" w:cs="Times New Roman"/>
          <w:color w:val="000000"/>
          <w:kern w:val="0"/>
          <w:sz w:val="22"/>
          <w:szCs w:val="22"/>
          <w14:ligatures w14:val="none"/>
        </w:rPr>
        <w:t>Pydantic</w:t>
      </w:r>
      <w:proofErr w:type="spellEnd"/>
      <w:r w:rsidRPr="0013457E">
        <w:rPr>
          <w:rFonts w:ascii="Times New Roman" w:eastAsia="Times New Roman" w:hAnsi="Times New Roman" w:cs="Times New Roman"/>
          <w:color w:val="000000"/>
          <w:kern w:val="0"/>
          <w:sz w:val="22"/>
          <w:szCs w:val="22"/>
          <w14:ligatures w14:val="none"/>
        </w:rPr>
        <w:t xml:space="preserve"> response schema which strictly partitioned weaknesses from strengths. This approach rendered the original extraction logic for identifying the weakness section redundant. Similarly, to ensure the fine-tuned LLM-judge’s evaluations were parsed with maximal robustness, we </w:t>
      </w:r>
      <w:proofErr w:type="gramStart"/>
      <w:r w:rsidRPr="0013457E">
        <w:rPr>
          <w:rFonts w:ascii="Times New Roman" w:eastAsia="Times New Roman" w:hAnsi="Times New Roman" w:cs="Times New Roman"/>
          <w:color w:val="000000"/>
          <w:kern w:val="0"/>
          <w:sz w:val="22"/>
          <w:szCs w:val="22"/>
          <w14:ligatures w14:val="none"/>
        </w:rPr>
        <w:t>implemented  a</w:t>
      </w:r>
      <w:proofErr w:type="gramEnd"/>
      <w:r w:rsidRPr="0013457E">
        <w:rPr>
          <w:rFonts w:ascii="Times New Roman" w:eastAsia="Times New Roman" w:hAnsi="Times New Roman" w:cs="Times New Roman"/>
          <w:color w:val="000000"/>
          <w:kern w:val="0"/>
          <w:sz w:val="22"/>
          <w:szCs w:val="22"/>
          <w14:ligatures w14:val="none"/>
        </w:rPr>
        <w:t xml:space="preserve"> secondary </w:t>
      </w:r>
      <w:proofErr w:type="spellStart"/>
      <w:r w:rsidRPr="0013457E">
        <w:rPr>
          <w:rFonts w:ascii="Times New Roman" w:eastAsia="Times New Roman" w:hAnsi="Times New Roman" w:cs="Times New Roman"/>
          <w:color w:val="000000"/>
          <w:kern w:val="0"/>
          <w:sz w:val="22"/>
          <w:szCs w:val="22"/>
          <w14:ligatures w14:val="none"/>
        </w:rPr>
        <w:t>Pydantic</w:t>
      </w:r>
      <w:proofErr w:type="spellEnd"/>
      <w:r w:rsidRPr="0013457E">
        <w:rPr>
          <w:rFonts w:ascii="Times New Roman" w:eastAsia="Times New Roman" w:hAnsi="Times New Roman" w:cs="Times New Roman"/>
          <w:color w:val="000000"/>
          <w:kern w:val="0"/>
          <w:sz w:val="22"/>
          <w:szCs w:val="22"/>
          <w14:ligatures w14:val="none"/>
        </w:rPr>
        <w:t xml:space="preserve"> schema for the judging phase. This likewise superseded the original parsing logic.</w:t>
      </w:r>
    </w:p>
    <w:p w14:paraId="479E57C0"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To uphold the principle of the holdout sample and prevent researcher bias (Baldwin et al., 2022) the analysis script (</w:t>
      </w:r>
      <w:proofErr w:type="spellStart"/>
      <w:proofErr w:type="gramStart"/>
      <w:r w:rsidRPr="0013457E">
        <w:rPr>
          <w:rFonts w:ascii="Times New Roman" w:eastAsia="Times New Roman" w:hAnsi="Times New Roman" w:cs="Times New Roman"/>
          <w:color w:val="000000"/>
          <w:kern w:val="0"/>
          <w:sz w:val="22"/>
          <w:szCs w:val="22"/>
          <w14:ligatures w14:val="none"/>
        </w:rPr>
        <w:t>analyses.Rmd</w:t>
      </w:r>
      <w:proofErr w:type="spellEnd"/>
      <w:proofErr w:type="gramEnd"/>
      <w:r w:rsidRPr="0013457E">
        <w:rPr>
          <w:rFonts w:ascii="Times New Roman" w:eastAsia="Times New Roman" w:hAnsi="Times New Roman" w:cs="Times New Roman"/>
          <w:color w:val="000000"/>
          <w:kern w:val="0"/>
          <w:sz w:val="22"/>
          <w:szCs w:val="22"/>
          <w14:ligatures w14:val="none"/>
        </w:rPr>
        <w:t>) was developed and validated using the simulated test data before being executed on the actual LLM-authored reviews and subsequent judgements. This procedure ensured the final sample and the statistical results remained unknown to us while the analyses pipeline was prepared.</w:t>
      </w:r>
    </w:p>
    <w:p w14:paraId="209936EB" w14:textId="77777777" w:rsidR="0013457E" w:rsidRPr="0013457E" w:rsidRDefault="0013457E" w:rsidP="0013457E">
      <w:pPr>
        <w:spacing w:after="0" w:line="480" w:lineRule="auto"/>
        <w:outlineLvl w:val="1"/>
        <w:rPr>
          <w:rFonts w:ascii="Times New Roman" w:eastAsia="Times New Roman" w:hAnsi="Times New Roman" w:cs="Times New Roman"/>
          <w:b/>
          <w:bCs/>
          <w:kern w:val="0"/>
          <w:sz w:val="36"/>
          <w:szCs w:val="36"/>
          <w14:ligatures w14:val="none"/>
        </w:rPr>
      </w:pPr>
      <w:r w:rsidRPr="0013457E">
        <w:rPr>
          <w:rFonts w:ascii="Times New Roman" w:eastAsia="Times New Roman" w:hAnsi="Times New Roman" w:cs="Times New Roman"/>
          <w:b/>
          <w:bCs/>
          <w:color w:val="000000"/>
          <w:kern w:val="0"/>
          <w:sz w:val="22"/>
          <w:szCs w:val="22"/>
          <w14:ligatures w14:val="none"/>
        </w:rPr>
        <w:t>Research Questions</w:t>
      </w:r>
    </w:p>
    <w:p w14:paraId="30DCAADE"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We addressed three primary research questions in this study.</w:t>
      </w:r>
    </w:p>
    <w:p w14:paraId="1C93C3CB"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RQ 1</w:t>
      </w:r>
    </w:p>
    <w:p w14:paraId="6BCAFE9D"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Do LLM-authored reviews exhibit systematic variation in their review quality as a function of configurational settings, namely the variation of the model architecture, the hyperparameter (temperature or reasoning effort), the chain of thought instruction (present vs. absent) and the note-taking strategy </w:t>
      </w:r>
      <w:r w:rsidRPr="0013457E">
        <w:rPr>
          <w:rFonts w:ascii="Times New Roman" w:eastAsia="Times New Roman" w:hAnsi="Times New Roman" w:cs="Times New Roman"/>
          <w:color w:val="000000"/>
          <w:kern w:val="0"/>
          <w:sz w:val="22"/>
          <w:szCs w:val="22"/>
          <w14:ligatures w14:val="none"/>
        </w:rPr>
        <w:lastRenderedPageBreak/>
        <w:t>(present with a faithful strategy vs. absent), as measured by the average helpfulness per configurational group?</w:t>
      </w:r>
    </w:p>
    <w:p w14:paraId="6596ABE4"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RQ 2</w:t>
      </w:r>
    </w:p>
    <w:p w14:paraId="604D4861"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Do LLM-authored reviews exhibit systematic variation in their internal evaluation indices about a paper as a function of configurational settings, namely the variation of the model architecture, the hyperparameter (temperature or reasoning effort), the chain of thought instruction (present vs. absent) and the note-taking strategy (present with a faithful strategy vs. absent), as measured by the average per configurational group of (1) the score for the papers correctness, (2) the score for the papers technical novelty and (3) the score for the papers empirical novelty?</w:t>
      </w:r>
    </w:p>
    <w:p w14:paraId="0FDEA96D"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RQ 3</w:t>
      </w:r>
    </w:p>
    <w:p w14:paraId="6C167B8F"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Do LLMs exhibit systematic variation in their operational success rate as a function of configurational settings, namely the variation of the model architecture, the hyperparameter (temperature or reasoning effort), the chain of thought instruction (present vs. absent) and the note-taking strategy (present with a faithful strategy vs. absent), as measured by the operational success rate per configuration group?</w:t>
      </w:r>
    </w:p>
    <w:p w14:paraId="358F094C" w14:textId="77777777" w:rsidR="0013457E" w:rsidRPr="0013457E" w:rsidRDefault="0013457E" w:rsidP="0013457E">
      <w:pPr>
        <w:spacing w:after="0" w:line="480" w:lineRule="auto"/>
        <w:jc w:val="center"/>
        <w:outlineLvl w:val="0"/>
        <w:rPr>
          <w:rFonts w:ascii="Times New Roman" w:eastAsia="Times New Roman" w:hAnsi="Times New Roman" w:cs="Times New Roman"/>
          <w:b/>
          <w:bCs/>
          <w:kern w:val="36"/>
          <w:sz w:val="48"/>
          <w:szCs w:val="48"/>
          <w14:ligatures w14:val="none"/>
        </w:rPr>
      </w:pPr>
      <w:r w:rsidRPr="0013457E">
        <w:rPr>
          <w:rFonts w:ascii="Times New Roman" w:eastAsia="Times New Roman" w:hAnsi="Times New Roman" w:cs="Times New Roman"/>
          <w:b/>
          <w:bCs/>
          <w:color w:val="000000"/>
          <w:kern w:val="36"/>
          <w:sz w:val="22"/>
          <w:szCs w:val="22"/>
          <w14:ligatures w14:val="none"/>
        </w:rPr>
        <w:t>Analytic Plan </w:t>
      </w:r>
    </w:p>
    <w:p w14:paraId="4B64751C"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Below, we briefly describe our data processing and analysis steps. However, we also invite the reader to inspect our fully preregistered code (</w:t>
      </w:r>
      <w:proofErr w:type="spellStart"/>
      <w:proofErr w:type="gramStart"/>
      <w:r w:rsidRPr="0013457E">
        <w:rPr>
          <w:rFonts w:ascii="Times New Roman" w:eastAsia="Times New Roman" w:hAnsi="Times New Roman" w:cs="Times New Roman"/>
          <w:color w:val="000000"/>
          <w:kern w:val="0"/>
          <w:sz w:val="22"/>
          <w:szCs w:val="22"/>
          <w14:ligatures w14:val="none"/>
        </w:rPr>
        <w:t>analyses.Rmd</w:t>
      </w:r>
      <w:proofErr w:type="spellEnd"/>
      <w:proofErr w:type="gramEnd"/>
      <w:r w:rsidRPr="0013457E">
        <w:rPr>
          <w:rFonts w:ascii="Times New Roman" w:eastAsia="Times New Roman" w:hAnsi="Times New Roman" w:cs="Times New Roman"/>
          <w:color w:val="000000"/>
          <w:kern w:val="0"/>
          <w:sz w:val="22"/>
          <w:szCs w:val="22"/>
          <w14:ligatures w14:val="none"/>
        </w:rPr>
        <w:t>) for precise specifications on all aspects of the analyses. The implementations of these in R represent the precise and formal preregistration rather than our loose description here.</w:t>
      </w:r>
    </w:p>
    <w:p w14:paraId="67ED9E78" w14:textId="77777777" w:rsidR="0013457E" w:rsidRPr="0013457E" w:rsidRDefault="0013457E" w:rsidP="0013457E">
      <w:pPr>
        <w:spacing w:after="0" w:line="480" w:lineRule="auto"/>
        <w:outlineLvl w:val="1"/>
        <w:rPr>
          <w:rFonts w:ascii="Times New Roman" w:eastAsia="Times New Roman" w:hAnsi="Times New Roman" w:cs="Times New Roman"/>
          <w:b/>
          <w:bCs/>
          <w:kern w:val="0"/>
          <w:sz w:val="36"/>
          <w:szCs w:val="36"/>
          <w14:ligatures w14:val="none"/>
        </w:rPr>
      </w:pPr>
      <w:r w:rsidRPr="0013457E">
        <w:rPr>
          <w:rFonts w:ascii="Times New Roman" w:eastAsia="Times New Roman" w:hAnsi="Times New Roman" w:cs="Times New Roman"/>
          <w:b/>
          <w:bCs/>
          <w:color w:val="000000"/>
          <w:kern w:val="0"/>
          <w:sz w:val="22"/>
          <w:szCs w:val="22"/>
          <w14:ligatures w14:val="none"/>
        </w:rPr>
        <w:t>Data processing</w:t>
      </w:r>
    </w:p>
    <w:p w14:paraId="21E53FA2"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 xml:space="preserve">Scoring algorithm  </w:t>
      </w:r>
    </w:p>
    <w:p w14:paraId="72C6DBC0"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The review quality metric was derived from </w:t>
      </w:r>
      <w:proofErr w:type="spellStart"/>
      <w:r w:rsidRPr="0013457E">
        <w:rPr>
          <w:rFonts w:ascii="Times New Roman" w:eastAsia="Times New Roman" w:hAnsi="Times New Roman" w:cs="Times New Roman"/>
          <w:color w:val="000000"/>
          <w:kern w:val="0"/>
          <w:sz w:val="22"/>
          <w:szCs w:val="22"/>
          <w14:ligatures w14:val="none"/>
        </w:rPr>
        <w:t>Sadallah</w:t>
      </w:r>
      <w:proofErr w:type="spellEnd"/>
      <w:r w:rsidRPr="0013457E">
        <w:rPr>
          <w:rFonts w:ascii="Times New Roman" w:eastAsia="Times New Roman" w:hAnsi="Times New Roman" w:cs="Times New Roman"/>
          <w:color w:val="000000"/>
          <w:kern w:val="0"/>
          <w:sz w:val="22"/>
          <w:szCs w:val="22"/>
          <w14:ligatures w14:val="none"/>
        </w:rPr>
        <w:t xml:space="preserve"> et al. (2025). First, the weakness section of each review was extracted. Then single comments of this section were segmented and prepared for evaluation. The authors </w:t>
      </w:r>
      <w:r w:rsidRPr="0013457E">
        <w:rPr>
          <w:rFonts w:ascii="Times New Roman" w:eastAsia="Times New Roman" w:hAnsi="Times New Roman" w:cs="Times New Roman"/>
          <w:i/>
          <w:iCs/>
          <w:color w:val="000000"/>
          <w:kern w:val="0"/>
          <w:sz w:val="22"/>
          <w:szCs w:val="22"/>
          <w14:ligatures w14:val="none"/>
        </w:rPr>
        <w:t>score-only</w:t>
      </w:r>
      <w:r w:rsidRPr="0013457E">
        <w:rPr>
          <w:rFonts w:ascii="Times New Roman" w:eastAsia="Times New Roman" w:hAnsi="Times New Roman" w:cs="Times New Roman"/>
          <w:color w:val="000000"/>
          <w:kern w:val="0"/>
          <w:sz w:val="22"/>
          <w:szCs w:val="22"/>
          <w14:ligatures w14:val="none"/>
        </w:rPr>
        <w:t xml:space="preserve"> fine-tuned Llama-3.1-8B model was applied to judge each of the review comments on the four quality dimensions, actionability, grounding &amp; specificity, verifiability and </w:t>
      </w:r>
      <w:r w:rsidRPr="0013457E">
        <w:rPr>
          <w:rFonts w:ascii="Times New Roman" w:eastAsia="Times New Roman" w:hAnsi="Times New Roman" w:cs="Times New Roman"/>
          <w:color w:val="000000"/>
          <w:kern w:val="0"/>
          <w:sz w:val="22"/>
          <w:szCs w:val="22"/>
          <w14:ligatures w14:val="none"/>
        </w:rPr>
        <w:lastRenderedPageBreak/>
        <w:t xml:space="preserve">helpfulness. </w:t>
      </w:r>
      <w:proofErr w:type="spellStart"/>
      <w:r w:rsidRPr="0013457E">
        <w:rPr>
          <w:rFonts w:ascii="Times New Roman" w:eastAsia="Times New Roman" w:hAnsi="Times New Roman" w:cs="Times New Roman"/>
          <w:color w:val="000000"/>
          <w:kern w:val="0"/>
          <w:sz w:val="22"/>
          <w:szCs w:val="22"/>
          <w14:ligatures w14:val="none"/>
        </w:rPr>
        <w:t>Sadallah</w:t>
      </w:r>
      <w:proofErr w:type="spellEnd"/>
      <w:r w:rsidRPr="0013457E">
        <w:rPr>
          <w:rFonts w:ascii="Times New Roman" w:eastAsia="Times New Roman" w:hAnsi="Times New Roman" w:cs="Times New Roman"/>
          <w:color w:val="000000"/>
          <w:kern w:val="0"/>
          <w:sz w:val="22"/>
          <w:szCs w:val="22"/>
          <w14:ligatures w14:val="none"/>
        </w:rPr>
        <w:t xml:space="preserve"> et al. (2025) provide definitions for each of the quality dimensions. Post-processing steps attempted to extract the final scores from the raw response. Before any further assessments the scores across comments for each single review were averaged to yield a single value on the review-level per quality dimension. The final quality metric for a given configuration was the average quality score across all its successfully generated and judged reviews. Out of the four quality dimensions, we opted for the helpfulness dimension as our main quality metric in our analysis as by the author’s definitions this one is meant to judge the review comment as most comprehensive.</w:t>
      </w:r>
    </w:p>
    <w:p w14:paraId="51E953E7"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The review evaluation indices, consisting of the correctness score, the technical novelty score and the empirical novelty score, were all extracted directly from the generated review. The final metric for a given configuration was the average score across all its successfully generated and reviews. Given that no single score was theoretically prioritized over others, we treated all three of them as equally weighted metrics for this RQ.</w:t>
      </w:r>
    </w:p>
    <w:p w14:paraId="7F44A832"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The operational success rate was developed specifically for this study to evaluate the operational reliability of each configuration. During the review generation process, each combination of paper and configuration either resulted in some generated review which also adhered to our predefined schema, or it failed on any of both criteria. The operational success rate for a configuration was its proportion of reviews which passed both criteria.</w:t>
      </w:r>
    </w:p>
    <w:p w14:paraId="07F579DB"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Confidence intervals around scores</w:t>
      </w:r>
    </w:p>
    <w:p w14:paraId="6F508B6A"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All metrics were bootstrapped on the review-level. The number of iterations was aligned to (Cummins, 2025).</w:t>
      </w:r>
    </w:p>
    <w:p w14:paraId="00015EF1" w14:textId="77777777" w:rsidR="0013457E" w:rsidRPr="0013457E" w:rsidRDefault="0013457E" w:rsidP="0013457E">
      <w:pPr>
        <w:spacing w:after="0" w:line="480" w:lineRule="auto"/>
        <w:outlineLvl w:val="1"/>
        <w:rPr>
          <w:rFonts w:ascii="Times New Roman" w:eastAsia="Times New Roman" w:hAnsi="Times New Roman" w:cs="Times New Roman"/>
          <w:b/>
          <w:bCs/>
          <w:kern w:val="0"/>
          <w:sz w:val="36"/>
          <w:szCs w:val="36"/>
          <w14:ligatures w14:val="none"/>
        </w:rPr>
      </w:pPr>
      <w:r w:rsidRPr="0013457E">
        <w:rPr>
          <w:rFonts w:ascii="Times New Roman" w:eastAsia="Times New Roman" w:hAnsi="Times New Roman" w:cs="Times New Roman"/>
          <w:b/>
          <w:bCs/>
          <w:color w:val="000000"/>
          <w:kern w:val="0"/>
          <w:sz w:val="22"/>
          <w:szCs w:val="22"/>
          <w14:ligatures w14:val="none"/>
        </w:rPr>
        <w:t>Analyses</w:t>
      </w:r>
    </w:p>
    <w:p w14:paraId="4FA3F993"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RQ 1 Sensitivity of Review Quality</w:t>
      </w:r>
    </w:p>
    <w:p w14:paraId="60AA54D1"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Whether LLM-authored reviews exhibit sensitivity to quality was assessed with the main quality metric (the average helpfulness of generated reviews per configuration group). Within the specification curve analysis, non-overlapping confidence intervals across configurations would signify a significant influence of configuration parameters on the review’s quality. The systematic overlap of confidence </w:t>
      </w:r>
      <w:r w:rsidRPr="0013457E">
        <w:rPr>
          <w:rFonts w:ascii="Times New Roman" w:eastAsia="Times New Roman" w:hAnsi="Times New Roman" w:cs="Times New Roman"/>
          <w:color w:val="000000"/>
          <w:kern w:val="0"/>
          <w:sz w:val="22"/>
          <w:szCs w:val="22"/>
          <w14:ligatures w14:val="none"/>
        </w:rPr>
        <w:lastRenderedPageBreak/>
        <w:t xml:space="preserve">intervals across the specification curve would suggest a lack of significant configuration influence on the review’s quality. The specification curve plot for the quality metric can be found in Figure </w:t>
      </w:r>
      <w:r w:rsidRPr="0013457E">
        <w:rPr>
          <w:rFonts w:ascii="Times New Roman" w:eastAsia="Times New Roman" w:hAnsi="Times New Roman" w:cs="Times New Roman"/>
          <w:color w:val="000000"/>
          <w:kern w:val="0"/>
          <w:sz w:val="22"/>
          <w:szCs w:val="22"/>
          <w:shd w:val="clear" w:color="auto" w:fill="FFFF00"/>
          <w14:ligatures w14:val="none"/>
        </w:rPr>
        <w:t>XX</w:t>
      </w:r>
      <w:r w:rsidRPr="0013457E">
        <w:rPr>
          <w:rFonts w:ascii="Times New Roman" w:eastAsia="Times New Roman" w:hAnsi="Times New Roman" w:cs="Times New Roman"/>
          <w:color w:val="000000"/>
          <w:kern w:val="0"/>
          <w:sz w:val="22"/>
          <w:szCs w:val="22"/>
          <w14:ligatures w14:val="none"/>
        </w:rPr>
        <w:t>.</w:t>
      </w:r>
    </w:p>
    <w:p w14:paraId="0184CA85"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RQ 2 Sensitivity of Internal Evaluative Judgment</w:t>
      </w:r>
    </w:p>
    <w:p w14:paraId="5E59F5B4"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Whether LLM-authored reviews exhibit sensitivity to the internal evaluation indices was assessed with the review evaluation indices (the average score of correctness, of technical novelty and of empirical novelty for all generated reviews per configuration group). Within the specification curve analysis, non-overlapping confidence intervals across configurations across all specification plots would signify a significant influence of configuration parameters on the review evaluation indices. The systematic overlap of confidence intervals in any of the specification curves would suggest a lack of significant configuration influence on the review evaluation indices. The specification curve plot for the content metrics can be found in Figures </w:t>
      </w:r>
      <w:r w:rsidRPr="0013457E">
        <w:rPr>
          <w:rFonts w:ascii="Times New Roman" w:eastAsia="Times New Roman" w:hAnsi="Times New Roman" w:cs="Times New Roman"/>
          <w:color w:val="000000"/>
          <w:kern w:val="0"/>
          <w:sz w:val="22"/>
          <w:szCs w:val="22"/>
          <w:shd w:val="clear" w:color="auto" w:fill="FFFF00"/>
          <w14:ligatures w14:val="none"/>
        </w:rPr>
        <w:t>XX</w:t>
      </w:r>
      <w:r w:rsidRPr="0013457E">
        <w:rPr>
          <w:rFonts w:ascii="Times New Roman" w:eastAsia="Times New Roman" w:hAnsi="Times New Roman" w:cs="Times New Roman"/>
          <w:color w:val="000000"/>
          <w:kern w:val="0"/>
          <w:sz w:val="22"/>
          <w:szCs w:val="22"/>
          <w14:ligatures w14:val="none"/>
        </w:rPr>
        <w:t>.</w:t>
      </w:r>
    </w:p>
    <w:p w14:paraId="3C33ECBC" w14:textId="77777777" w:rsidR="0013457E" w:rsidRPr="0013457E" w:rsidRDefault="0013457E" w:rsidP="0013457E">
      <w:pPr>
        <w:spacing w:after="0" w:line="480" w:lineRule="auto"/>
        <w:ind w:firstLine="720"/>
        <w:outlineLvl w:val="2"/>
        <w:rPr>
          <w:rFonts w:ascii="Times New Roman" w:eastAsia="Times New Roman" w:hAnsi="Times New Roman" w:cs="Times New Roman"/>
          <w:b/>
          <w:bCs/>
          <w:kern w:val="0"/>
          <w:sz w:val="27"/>
          <w:szCs w:val="27"/>
          <w14:ligatures w14:val="none"/>
        </w:rPr>
      </w:pPr>
      <w:r w:rsidRPr="0013457E">
        <w:rPr>
          <w:rFonts w:ascii="Times New Roman" w:eastAsia="Times New Roman" w:hAnsi="Times New Roman" w:cs="Times New Roman"/>
          <w:b/>
          <w:bCs/>
          <w:color w:val="000000"/>
          <w:kern w:val="0"/>
          <w:sz w:val="22"/>
          <w:szCs w:val="22"/>
          <w14:ligatures w14:val="none"/>
        </w:rPr>
        <w:t>RQ 3 Sensitivity of Operational Success Rate</w:t>
      </w:r>
    </w:p>
    <w:p w14:paraId="2F0DAE48" w14:textId="77777777" w:rsidR="0013457E" w:rsidRPr="0013457E" w:rsidRDefault="0013457E" w:rsidP="0013457E">
      <w:pPr>
        <w:spacing w:after="0" w:line="480" w:lineRule="auto"/>
        <w:ind w:firstLine="720"/>
        <w:rPr>
          <w:rFonts w:ascii="Times New Roman" w:eastAsia="Times New Roman" w:hAnsi="Times New Roman" w:cs="Times New Roman"/>
          <w:kern w:val="0"/>
          <w14:ligatures w14:val="none"/>
        </w:rPr>
      </w:pPr>
      <w:r w:rsidRPr="0013457E">
        <w:rPr>
          <w:rFonts w:ascii="Times New Roman" w:eastAsia="Times New Roman" w:hAnsi="Times New Roman" w:cs="Times New Roman"/>
          <w:color w:val="000000"/>
          <w:kern w:val="0"/>
          <w:sz w:val="22"/>
          <w:szCs w:val="22"/>
          <w14:ligatures w14:val="none"/>
        </w:rPr>
        <w:t xml:space="preserve">Whether LLM-authored reviews exhibit sensitivity to review generation was assessed with the operational success rate (the rate of successful review generations per configuration group). Within the specification curve analysis, non-overlapping confidence intervals across configurations would signify a significant influence of configuration parameters on the operational success rate. The systematic overlap of confidence intervals across the specification curve would suggest a lack of significant configuration influence on the operational success rate. The specification curve plot for the operational success metric can be found in Figure </w:t>
      </w:r>
      <w:proofErr w:type="gramStart"/>
      <w:r w:rsidRPr="0013457E">
        <w:rPr>
          <w:rFonts w:ascii="Times New Roman" w:eastAsia="Times New Roman" w:hAnsi="Times New Roman" w:cs="Times New Roman"/>
          <w:color w:val="000000"/>
          <w:kern w:val="0"/>
          <w:sz w:val="22"/>
          <w:szCs w:val="22"/>
          <w:shd w:val="clear" w:color="auto" w:fill="FFFF00"/>
          <w14:ligatures w14:val="none"/>
        </w:rPr>
        <w:t xml:space="preserve">XX </w:t>
      </w:r>
      <w:r w:rsidRPr="0013457E">
        <w:rPr>
          <w:rFonts w:ascii="Times New Roman" w:eastAsia="Times New Roman" w:hAnsi="Times New Roman" w:cs="Times New Roman"/>
          <w:color w:val="000000"/>
          <w:kern w:val="0"/>
          <w:sz w:val="22"/>
          <w:szCs w:val="22"/>
          <w14:ligatures w14:val="none"/>
        </w:rPr>
        <w:t>.</w:t>
      </w:r>
      <w:proofErr w:type="gramEnd"/>
    </w:p>
    <w:p w14:paraId="3AE3CCA9" w14:textId="77777777" w:rsidR="0013457E" w:rsidRPr="0013457E" w:rsidRDefault="0013457E" w:rsidP="0013457E">
      <w:pPr>
        <w:spacing w:after="0" w:line="240" w:lineRule="auto"/>
        <w:rPr>
          <w:rFonts w:ascii="Times New Roman" w:eastAsia="Times New Roman" w:hAnsi="Times New Roman" w:cs="Times New Roman"/>
          <w:kern w:val="0"/>
          <w14:ligatures w14:val="none"/>
        </w:rPr>
      </w:pPr>
    </w:p>
    <w:p w14:paraId="1206B26D" w14:textId="77777777" w:rsidR="00904E71" w:rsidRDefault="00904E71"/>
    <w:sectPr w:rsidR="00904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7E"/>
    <w:rsid w:val="00095F30"/>
    <w:rsid w:val="0013457E"/>
    <w:rsid w:val="001C56AC"/>
    <w:rsid w:val="006E1379"/>
    <w:rsid w:val="00904E71"/>
    <w:rsid w:val="00A833BB"/>
    <w:rsid w:val="00C61FE6"/>
    <w:rsid w:val="00D725A7"/>
    <w:rsid w:val="00DC7BEA"/>
    <w:rsid w:val="00E67769"/>
    <w:rsid w:val="00ED1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ED82D4"/>
  <w15:chartTrackingRefBased/>
  <w15:docId w15:val="{D182C538-4E4E-6B48-B70D-28EC4912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4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4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7E"/>
    <w:rPr>
      <w:rFonts w:eastAsiaTheme="majorEastAsia" w:cstheme="majorBidi"/>
      <w:color w:val="272727" w:themeColor="text1" w:themeTint="D8"/>
    </w:rPr>
  </w:style>
  <w:style w:type="paragraph" w:styleId="Title">
    <w:name w:val="Title"/>
    <w:basedOn w:val="Normal"/>
    <w:next w:val="Normal"/>
    <w:link w:val="TitleChar"/>
    <w:uiPriority w:val="10"/>
    <w:qFormat/>
    <w:rsid w:val="0013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7E"/>
    <w:pPr>
      <w:spacing w:before="160"/>
      <w:jc w:val="center"/>
    </w:pPr>
    <w:rPr>
      <w:i/>
      <w:iCs/>
      <w:color w:val="404040" w:themeColor="text1" w:themeTint="BF"/>
    </w:rPr>
  </w:style>
  <w:style w:type="character" w:customStyle="1" w:styleId="QuoteChar">
    <w:name w:val="Quote Char"/>
    <w:basedOn w:val="DefaultParagraphFont"/>
    <w:link w:val="Quote"/>
    <w:uiPriority w:val="29"/>
    <w:rsid w:val="0013457E"/>
    <w:rPr>
      <w:i/>
      <w:iCs/>
      <w:color w:val="404040" w:themeColor="text1" w:themeTint="BF"/>
    </w:rPr>
  </w:style>
  <w:style w:type="paragraph" w:styleId="ListParagraph">
    <w:name w:val="List Paragraph"/>
    <w:basedOn w:val="Normal"/>
    <w:uiPriority w:val="34"/>
    <w:qFormat/>
    <w:rsid w:val="0013457E"/>
    <w:pPr>
      <w:ind w:left="720"/>
      <w:contextualSpacing/>
    </w:pPr>
  </w:style>
  <w:style w:type="character" w:styleId="IntenseEmphasis">
    <w:name w:val="Intense Emphasis"/>
    <w:basedOn w:val="DefaultParagraphFont"/>
    <w:uiPriority w:val="21"/>
    <w:qFormat/>
    <w:rsid w:val="0013457E"/>
    <w:rPr>
      <w:i/>
      <w:iCs/>
      <w:color w:val="0F4761" w:themeColor="accent1" w:themeShade="BF"/>
    </w:rPr>
  </w:style>
  <w:style w:type="paragraph" w:styleId="IntenseQuote">
    <w:name w:val="Intense Quote"/>
    <w:basedOn w:val="Normal"/>
    <w:next w:val="Normal"/>
    <w:link w:val="IntenseQuoteChar"/>
    <w:uiPriority w:val="30"/>
    <w:qFormat/>
    <w:rsid w:val="00134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7E"/>
    <w:rPr>
      <w:i/>
      <w:iCs/>
      <w:color w:val="0F4761" w:themeColor="accent1" w:themeShade="BF"/>
    </w:rPr>
  </w:style>
  <w:style w:type="character" w:styleId="IntenseReference">
    <w:name w:val="Intense Reference"/>
    <w:basedOn w:val="DefaultParagraphFont"/>
    <w:uiPriority w:val="32"/>
    <w:qFormat/>
    <w:rsid w:val="0013457E"/>
    <w:rPr>
      <w:b/>
      <w:bCs/>
      <w:smallCaps/>
      <w:color w:val="0F4761" w:themeColor="accent1" w:themeShade="BF"/>
      <w:spacing w:val="5"/>
    </w:rPr>
  </w:style>
  <w:style w:type="paragraph" w:styleId="NormalWeb">
    <w:name w:val="Normal (Web)"/>
    <w:basedOn w:val="Normal"/>
    <w:uiPriority w:val="99"/>
    <w:semiHidden/>
    <w:unhideWhenUsed/>
    <w:rsid w:val="001345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345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9.04484" TargetMode="External"/><Relationship Id="rId3" Type="http://schemas.openxmlformats.org/officeDocument/2006/relationships/webSettings" Target="webSettings.xml"/><Relationship Id="rId7" Type="http://schemas.openxmlformats.org/officeDocument/2006/relationships/hyperlink" Target="https://arxiv.org/abs/2508.0546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rxiv.org/abs/2509.13397" TargetMode="External"/><Relationship Id="rId5" Type="http://schemas.openxmlformats.org/officeDocument/2006/relationships/hyperlink" Target="about:blank" TargetMode="External"/><Relationship Id="rId10" Type="http://schemas.openxmlformats.org/officeDocument/2006/relationships/theme" Target="theme/theme1.xml"/><Relationship Id="rId4" Type="http://schemas.openxmlformats.org/officeDocument/2006/relationships/hyperlink" Target="https://openreview.ne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2566</Words>
  <Characters>14627</Characters>
  <Application>Microsoft Office Word</Application>
  <DocSecurity>0</DocSecurity>
  <Lines>121</Lines>
  <Paragraphs>34</Paragraphs>
  <ScaleCrop>false</ScaleCrop>
  <Company/>
  <LinksUpToDate>false</LinksUpToDate>
  <CharactersWithSpaces>17159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Cummins</dc:creator>
  <cp:keywords/>
  <dc:description/>
  <cp:lastModifiedBy>Jamie Cummins</cp:lastModifiedBy>
  <cp:revision>1</cp:revision>
  <dcterms:created xsi:type="dcterms:W3CDTF">2026-05-15T00:55:00Z</dcterms:created>
  <dcterms:modified xsi:type="dcterms:W3CDTF">2026-05-15T00:55:00Z</dcterms:modified>
</cp:coreProperties>
</file>