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75B5"/>
          <w:sz w:val="32"/>
        </w:rPr>
        <w:t>HIIEKO ROMANIA</w:t>
      </w:r>
    </w:p>
    <w:p>
      <w:pPr>
        <w:jc w:val="center"/>
      </w:pPr>
      <w:r>
        <w:rPr>
          <w:b/>
          <w:color w:val="17365D"/>
          <w:sz w:val="56"/>
        </w:rPr>
        <w:t>Application Gap &amp; Build Specification</w:t>
      </w:r>
    </w:p>
    <w:p>
      <w:pPr>
        <w:jc w:val="center"/>
      </w:pPr>
      <w:r>
        <w:rPr>
          <w:color w:val="404040"/>
          <w:sz w:val="28"/>
        </w:rPr>
        <w:t>Solar Site Management System (solar-site-management-system)</w:t>
      </w:r>
    </w:p>
    <w:p>
      <w:pPr>
        <w:spacing w:before="520"/>
        <w:jc w:val="center"/>
      </w:pPr>
      <w:r>
        <w:rPr>
          <w:b/>
          <w:sz w:val="22"/>
        </w:rPr>
        <w:t>Version 1.0 | 22 September 2026</w:t>
      </w:r>
    </w:p>
    <w:tbl>
      <w:tblPr>
        <w:tblStyle w:val="TableGrid"/>
        <w:tblW w:type="auto" w:w="0"/>
        <w:jc w:val="center"/>
        <w:tblLook w:firstColumn="1" w:firstRow="1" w:lastColumn="0" w:lastRow="0" w:noHBand="0" w:noVBand="1" w:val="04A0"/>
      </w:tblPr>
      <w:tblGrid>
        <w:gridCol w:w="10224"/>
      </w:tblGrid>
      <w:tr>
        <w:tc>
          <w:tcPr>
            <w:tcW w:type="dxa" w:w="10224"/>
            <w:shd w:fill="E2F0D9"/>
          </w:tcPr>
          <w:p>
            <w:pPr>
              <w:spacing w:after="40"/>
            </w:pPr>
            <w:r>
              <w:rPr>
                <w:b/>
                <w:color w:val="17365D"/>
                <w:sz w:val="19"/>
              </w:rPr>
              <w:t>Purpose</w:t>
            </w:r>
          </w:p>
          <w:p>
            <w:pPr>
              <w:spacing w:after="0"/>
            </w:pPr>
            <w:r>
              <w:rPr>
                <w:color w:val="404040"/>
                <w:sz w:val="18"/>
              </w:rPr>
              <w:t>A build-ready backlog and architecture map for closing the remaining HIIEKO application gaps across database/Prisma, NestJS APIs, Next.js web, Expo mobile, authorization, tests, and production readiness.</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2CC"/>
          </w:tcPr>
          <w:p>
            <w:pPr>
              <w:spacing w:after="40"/>
            </w:pPr>
            <w:r>
              <w:rPr>
                <w:b/>
                <w:color w:val="17365D"/>
                <w:sz w:val="19"/>
              </w:rPr>
              <w:t>Target runtime</w:t>
            </w:r>
          </w:p>
          <w:p>
            <w:pPr>
              <w:spacing w:after="0"/>
            </w:pPr>
            <w:r>
              <w:rPr>
                <w:color w:val="404040"/>
                <w:sz w:val="18"/>
              </w:rPr>
              <w:t>Web + Mobile → NestJS :4000 (JWT) → Prisma 5.22 → PostgreSQL. The existing OCR path still references Supabase/Edge Function + private OCR service; this specification marks that split as an explicit architecture decision.</w:t>
            </w:r>
          </w:p>
        </w:tc>
      </w:tr>
    </w:tbl>
    <w:p>
      <w:pPr>
        <w:spacing w:after="40"/>
      </w:pPr>
    </w:p>
    <w:p>
      <w:pPr>
        <w:spacing w:before="600"/>
      </w:pPr>
    </w:p>
    <w:p>
      <w:pPr>
        <w:pStyle w:val="Small"/>
        <w:jc w:val="center"/>
      </w:pPr>
      <w:r>
        <w:rPr>
          <w:i/>
        </w:rPr>
        <w:t>Source basis: project status supplied for 22 Sep 2026 + HIIEKO Organizational Structure &amp; Role Clarity + Site Manager role description + Romanian role/responsibility matrix.</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17365D"/>
          </w:tcPr>
          <w:p>
            <w:pPr>
              <w:spacing w:after="0"/>
            </w:pPr>
            <w:r/>
            <w:r>
              <w:rPr>
                <w:rFonts w:ascii="Arial" w:hAnsi="Arial"/>
                <w:b/>
                <w:color w:val="FFFFFF"/>
                <w:sz w:val="15"/>
              </w:rPr>
              <w:t>Item</w:t>
            </w:r>
          </w:p>
        </w:tc>
        <w:tc>
          <w:tcPr>
            <w:tcW w:type="dxa" w:w="5112"/>
            <w:vAlign w:val="top"/>
            <w:shd w:fill="17365D"/>
          </w:tcPr>
          <w:p>
            <w:pPr>
              <w:spacing w:after="0"/>
            </w:pPr>
            <w:r/>
            <w:r>
              <w:rPr>
                <w:rFonts w:ascii="Arial" w:hAnsi="Arial"/>
                <w:b/>
                <w:color w:val="FFFFFF"/>
                <w:sz w:val="15"/>
              </w:rPr>
              <w:t>Value</w:t>
            </w:r>
          </w:p>
        </w:tc>
      </w:tr>
      <w:tr>
        <w:tc>
          <w:tcPr>
            <w:tcW w:type="dxa" w:w="5112"/>
            <w:vAlign w:val="top"/>
            <w:shd w:fill="FFFFFF"/>
          </w:tcPr>
          <w:p>
            <w:pPr>
              <w:spacing w:after="0"/>
            </w:pPr>
            <w:r/>
            <w:r>
              <w:rPr>
                <w:rFonts w:ascii="Arial" w:hAnsi="Arial"/>
                <w:b w:val="0"/>
                <w:color w:val="404040"/>
                <w:sz w:val="15"/>
              </w:rPr>
              <w:t>Document</w:t>
            </w:r>
          </w:p>
        </w:tc>
        <w:tc>
          <w:tcPr>
            <w:tcW w:type="dxa" w:w="5112"/>
            <w:vAlign w:val="top"/>
            <w:shd w:fill="FFFFFF"/>
          </w:tcPr>
          <w:p>
            <w:pPr>
              <w:spacing w:after="0"/>
            </w:pPr>
            <w:r/>
            <w:r>
              <w:rPr>
                <w:rFonts w:ascii="Arial" w:hAnsi="Arial"/>
                <w:b w:val="0"/>
                <w:color w:val="404040"/>
                <w:sz w:val="15"/>
              </w:rPr>
              <w:t>HIIEKO Application Gap &amp; Build Specification</w:t>
            </w:r>
          </w:p>
        </w:tc>
      </w:tr>
      <w:tr>
        <w:tc>
          <w:tcPr>
            <w:tcW w:type="dxa" w:w="5112"/>
            <w:vAlign w:val="top"/>
            <w:shd w:fill="F2F2F2"/>
          </w:tcPr>
          <w:p>
            <w:pPr>
              <w:spacing w:after="0"/>
            </w:pPr>
            <w:r/>
            <w:r>
              <w:rPr>
                <w:rFonts w:ascii="Arial" w:hAnsi="Arial"/>
                <w:b w:val="0"/>
                <w:color w:val="404040"/>
                <w:sz w:val="15"/>
              </w:rPr>
              <w:t>Version</w:t>
            </w:r>
          </w:p>
        </w:tc>
        <w:tc>
          <w:tcPr>
            <w:tcW w:type="dxa" w:w="5112"/>
            <w:vAlign w:val="top"/>
            <w:shd w:fill="F2F2F2"/>
          </w:tcPr>
          <w:p>
            <w:pPr>
              <w:spacing w:after="0"/>
            </w:pPr>
            <w:r/>
            <w:r>
              <w:rPr>
                <w:rFonts w:ascii="Arial" w:hAnsi="Arial"/>
                <w:b w:val="0"/>
                <w:color w:val="404040"/>
                <w:sz w:val="15"/>
              </w:rPr>
              <w:t>1.0</w:t>
            </w:r>
          </w:p>
        </w:tc>
      </w:tr>
      <w:tr>
        <w:tc>
          <w:tcPr>
            <w:tcW w:type="dxa" w:w="5112"/>
            <w:vAlign w:val="top"/>
            <w:shd w:fill="FFFFFF"/>
          </w:tcPr>
          <w:p>
            <w:pPr>
              <w:spacing w:after="0"/>
            </w:pPr>
            <w:r/>
            <w:r>
              <w:rPr>
                <w:rFonts w:ascii="Arial" w:hAnsi="Arial"/>
                <w:b w:val="0"/>
                <w:color w:val="404040"/>
                <w:sz w:val="15"/>
              </w:rPr>
              <w:t>Date</w:t>
            </w:r>
          </w:p>
        </w:tc>
        <w:tc>
          <w:tcPr>
            <w:tcW w:type="dxa" w:w="5112"/>
            <w:vAlign w:val="top"/>
            <w:shd w:fill="FFFFFF"/>
          </w:tcPr>
          <w:p>
            <w:pPr>
              <w:spacing w:after="0"/>
            </w:pPr>
            <w:r/>
            <w:r>
              <w:rPr>
                <w:rFonts w:ascii="Arial" w:hAnsi="Arial"/>
                <w:b w:val="0"/>
                <w:color w:val="404040"/>
                <w:sz w:val="15"/>
              </w:rPr>
              <w:t>22 September 2026</w:t>
            </w:r>
          </w:p>
        </w:tc>
      </w:tr>
      <w:tr>
        <w:tc>
          <w:tcPr>
            <w:tcW w:type="dxa" w:w="5112"/>
            <w:vAlign w:val="top"/>
            <w:shd w:fill="F2F2F2"/>
          </w:tcPr>
          <w:p>
            <w:pPr>
              <w:spacing w:after="0"/>
            </w:pPr>
            <w:r/>
            <w:r>
              <w:rPr>
                <w:rFonts w:ascii="Arial" w:hAnsi="Arial"/>
                <w:b w:val="0"/>
                <w:color w:val="404040"/>
                <w:sz w:val="15"/>
              </w:rPr>
              <w:t>Current project stage</w:t>
            </w:r>
          </w:p>
        </w:tc>
        <w:tc>
          <w:tcPr>
            <w:tcW w:type="dxa" w:w="5112"/>
            <w:vAlign w:val="top"/>
            <w:shd w:fill="F2F2F2"/>
          </w:tcPr>
          <w:p>
            <w:pPr>
              <w:spacing w:after="0"/>
            </w:pPr>
            <w:r/>
            <w:r>
              <w:rPr>
                <w:rFonts w:ascii="Arial" w:hAnsi="Arial"/>
                <w:b w:val="0"/>
                <w:color w:val="404040"/>
                <w:sz w:val="15"/>
              </w:rPr>
              <w:t>STEP 5 complete; STEP 6 Daily Reports is the stated current focus</w:t>
            </w:r>
          </w:p>
        </w:tc>
      </w:tr>
      <w:tr>
        <w:tc>
          <w:tcPr>
            <w:tcW w:type="dxa" w:w="5112"/>
            <w:vAlign w:val="top"/>
            <w:shd w:fill="FFFFFF"/>
          </w:tcPr>
          <w:p>
            <w:pPr>
              <w:spacing w:after="0"/>
            </w:pPr>
            <w:r/>
            <w:r>
              <w:rPr>
                <w:rFonts w:ascii="Arial" w:hAnsi="Arial"/>
                <w:b w:val="0"/>
                <w:color w:val="404040"/>
                <w:sz w:val="15"/>
              </w:rPr>
              <w:t>Target architecture</w:t>
            </w:r>
          </w:p>
        </w:tc>
        <w:tc>
          <w:tcPr>
            <w:tcW w:type="dxa" w:w="5112"/>
            <w:vAlign w:val="top"/>
            <w:shd w:fill="FFFFFF"/>
          </w:tcPr>
          <w:p>
            <w:pPr>
              <w:spacing w:after="0"/>
            </w:pPr>
            <w:r/>
            <w:r>
              <w:rPr>
                <w:rFonts w:ascii="Arial" w:hAnsi="Arial"/>
                <w:b w:val="0"/>
                <w:color w:val="404040"/>
                <w:sz w:val="15"/>
              </w:rPr>
              <w:t>Next.js web + Expo mobile → NestJS + JWT → Prisma → PostgreSQL</w:t>
            </w:r>
          </w:p>
        </w:tc>
      </w:tr>
      <w:tr>
        <w:tc>
          <w:tcPr>
            <w:tcW w:type="dxa" w:w="5112"/>
            <w:vAlign w:val="top"/>
            <w:shd w:fill="F2F2F2"/>
          </w:tcPr>
          <w:p>
            <w:pPr>
              <w:spacing w:after="0"/>
            </w:pPr>
            <w:r/>
            <w:r>
              <w:rPr>
                <w:rFonts w:ascii="Arial" w:hAnsi="Arial"/>
                <w:b w:val="0"/>
                <w:color w:val="404040"/>
                <w:sz w:val="15"/>
              </w:rPr>
              <w:t>Primary audience</w:t>
            </w:r>
          </w:p>
        </w:tc>
        <w:tc>
          <w:tcPr>
            <w:tcW w:type="dxa" w:w="5112"/>
            <w:vAlign w:val="top"/>
            <w:shd w:fill="F2F2F2"/>
          </w:tcPr>
          <w:p>
            <w:pPr>
              <w:spacing w:after="0"/>
            </w:pPr>
            <w:r/>
            <w:r>
              <w:rPr>
                <w:rFonts w:ascii="Arial" w:hAnsi="Arial"/>
                <w:b w:val="0"/>
                <w:color w:val="404040"/>
                <w:sz w:val="15"/>
              </w:rPr>
              <w:t>HIIEKO management, product owner, technical lead, backend/frontend/mobile developers, QA</w:t>
            </w:r>
          </w:p>
        </w:tc>
      </w:tr>
      <w:tr>
        <w:tc>
          <w:tcPr>
            <w:tcW w:type="dxa" w:w="5112"/>
            <w:vAlign w:val="top"/>
            <w:shd w:fill="FFFFFF"/>
          </w:tcPr>
          <w:p>
            <w:pPr>
              <w:spacing w:after="0"/>
            </w:pPr>
            <w:r/>
            <w:r>
              <w:rPr>
                <w:rFonts w:ascii="Arial" w:hAnsi="Arial"/>
                <w:b w:val="0"/>
                <w:color w:val="404040"/>
                <w:sz w:val="15"/>
              </w:rPr>
              <w:t>Requirement convention</w:t>
            </w:r>
          </w:p>
        </w:tc>
        <w:tc>
          <w:tcPr>
            <w:tcW w:type="dxa" w:w="5112"/>
            <w:vAlign w:val="top"/>
            <w:shd w:fill="FFFFFF"/>
          </w:tcPr>
          <w:p>
            <w:pPr>
              <w:spacing w:after="0"/>
            </w:pPr>
            <w:r/>
            <w:r>
              <w:rPr>
                <w:rFonts w:ascii="Arial" w:hAnsi="Arial"/>
                <w:b w:val="0"/>
                <w:color w:val="404040"/>
                <w:sz w:val="15"/>
              </w:rPr>
              <w:t>C = confirmed current state; P = proposed build item; D = decision required before build</w:t>
            </w:r>
          </w:p>
        </w:tc>
      </w:tr>
      <w:tr>
        <w:tc>
          <w:tcPr>
            <w:tcW w:type="dxa" w:w="5112"/>
            <w:vAlign w:val="top"/>
            <w:shd w:fill="F2F2F2"/>
          </w:tcPr>
          <w:p>
            <w:pPr>
              <w:spacing w:after="0"/>
            </w:pPr>
            <w:r/>
            <w:r>
              <w:rPr>
                <w:rFonts w:ascii="Arial" w:hAnsi="Arial"/>
                <w:b w:val="0"/>
                <w:color w:val="404040"/>
                <w:sz w:val="15"/>
              </w:rPr>
              <w:t>Source discipline</w:t>
            </w:r>
          </w:p>
        </w:tc>
        <w:tc>
          <w:tcPr>
            <w:tcW w:type="dxa" w:w="5112"/>
            <w:vAlign w:val="top"/>
            <w:shd w:fill="F2F2F2"/>
          </w:tcPr>
          <w:p>
            <w:pPr>
              <w:spacing w:after="0"/>
            </w:pPr>
            <w:r/>
            <w:r>
              <w:rPr>
                <w:rFonts w:ascii="Arial" w:hAnsi="Arial"/>
                <w:b w:val="0"/>
                <w:color w:val="404040"/>
                <w:sz w:val="15"/>
              </w:rPr>
              <w:t>Company documents are authoritative for role ownership. Proposed technical names are not claims about the existing Prisma schema unless the project status explicitly named them.</w:t>
            </w:r>
          </w:p>
        </w:tc>
      </w:tr>
    </w:tbl>
    <w:p>
      <w:pPr>
        <w:spacing w:after="40"/>
      </w:pPr>
    </w:p>
    <w:p>
      <w:pPr>
        <w:pStyle w:val="Heading2"/>
      </w:pPr>
      <w:r>
        <w:t>1.1 What this specification covers</w:t>
      </w:r>
    </w:p>
    <w:p>
      <w:pPr>
        <w:spacing w:after="40"/>
        <w:ind w:left="259" w:hanging="173"/>
      </w:pPr>
      <w:r>
        <w:rPr>
          <w:sz w:val="18"/>
        </w:rPr>
        <w:t>• Every material gap identified from the current project status and the supplied HIIEKO organization/site-management documents.</w:t>
      </w:r>
    </w:p>
    <w:p>
      <w:pPr>
        <w:spacing w:after="40"/>
        <w:ind w:left="259" w:hanging="173"/>
      </w:pPr>
      <w:r>
        <w:rPr>
          <w:sz w:val="18"/>
        </w:rPr>
        <w:t>• A concrete mapping from capability → data model → API → web → mobile → permission → automated/acceptance tests.</w:t>
      </w:r>
    </w:p>
    <w:p>
      <w:pPr>
        <w:spacing w:after="40"/>
        <w:ind w:left="259" w:hanging="173"/>
      </w:pPr>
      <w:r>
        <w:rPr>
          <w:sz w:val="18"/>
        </w:rPr>
        <w:t>• Dependencies, sequencing, architectural decisions, and production exit criteria.</w:t>
      </w:r>
    </w:p>
    <w:p>
      <w:pPr>
        <w:spacing w:after="40"/>
        <w:ind w:left="259" w:hanging="173"/>
      </w:pPr>
      <w:r>
        <w:rPr>
          <w:sz w:val="18"/>
        </w:rPr>
        <w:t>• Explicit identification of areas where the current source material does not define enough detail to safely hard-code a behavior.</w:t>
      </w:r>
    </w:p>
    <w:p>
      <w:pPr>
        <w:pStyle w:val="Heading2"/>
      </w:pPr>
      <w:r>
        <w:t>1.2 Source-derived operating rules</w:t>
      </w:r>
    </w:p>
    <w:p>
      <w:pPr>
        <w:spacing w:after="40"/>
        <w:ind w:left="259" w:hanging="173"/>
      </w:pPr>
      <w:r>
        <w:rPr>
          <w:sz w:val="18"/>
        </w:rPr>
        <w:t>• Commercial formally hands the project to Project Management after award.</w:t>
      </w:r>
    </w:p>
    <w:p>
      <w:pPr>
        <w:spacing w:after="40"/>
        <w:ind w:left="259" w:hanging="173"/>
      </w:pPr>
      <w:r>
        <w:rPr>
          <w:sz w:val="18"/>
        </w:rPr>
        <w:t>• Technical Director owns technical governance at portfolio level; Project Manager owns project delivery after handover.</w:t>
      </w:r>
    </w:p>
    <w:p>
      <w:pPr>
        <w:spacing w:after="40"/>
        <w:ind w:left="259" w:hanging="173"/>
      </w:pPr>
      <w:r>
        <w:rPr>
          <w:sz w:val="18"/>
        </w:rPr>
        <w:t>• Site Manager owns day-to-day site execution; Foreman owns daily workforce execution.</w:t>
      </w:r>
    </w:p>
    <w:p>
      <w:pPr>
        <w:spacing w:after="40"/>
        <w:ind w:left="259" w:hanging="173"/>
      </w:pPr>
      <w:r>
        <w:rPr>
          <w:sz w:val="18"/>
        </w:rPr>
        <w:t>• Site Logistics &amp; Administration owns attendance, receipts, stock, tools and site records.</w:t>
      </w:r>
    </w:p>
    <w:p>
      <w:pPr>
        <w:spacing w:after="40"/>
        <w:ind w:left="259" w:hanging="173"/>
      </w:pPr>
      <w:r>
        <w:rPr>
          <w:sz w:val="18"/>
        </w:rPr>
        <w:t>• PM defines what/when is required; Procurement executes sourcing; Finance controls financial approval; Site Logistics confirms receipt.</w:t>
      </w:r>
    </w:p>
    <w:p>
      <w:pPr>
        <w:spacing w:after="40"/>
        <w:ind w:left="259" w:hanging="173"/>
      </w:pPr>
      <w:r>
        <w:rPr>
          <w:sz w:val="18"/>
        </w:rPr>
        <w:t>• No material purchase without approved project requirement/authorization; no uncontrolled design deviation; every external collaborator has a named internal owner.</w:t>
      </w:r>
    </w:p>
    <w:p>
      <w:pPr>
        <w:spacing w:after="40"/>
        <w:ind w:left="259" w:hanging="173"/>
      </w:pPr>
      <w:r>
        <w:rPr>
          <w:sz w:val="18"/>
        </w:rPr>
        <w:t>• External Site Managers operate at Site Manager level; External Engineering, Permitting and HSE must not create a parallel hierarchy.</w:t>
      </w:r>
    </w:p>
    <w:p>
      <w:pPr>
        <w:pStyle w:val="Heading1"/>
      </w:pPr>
      <w:r>
        <w:t>2. Confirmed current state and gaps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Area</w:t>
            </w:r>
          </w:p>
        </w:tc>
        <w:tc>
          <w:tcPr>
            <w:tcW w:type="dxa" w:w="3408"/>
            <w:vAlign w:val="top"/>
            <w:shd w:fill="17365D"/>
          </w:tcPr>
          <w:p>
            <w:pPr>
              <w:spacing w:after="0"/>
            </w:pPr>
            <w:r/>
            <w:r>
              <w:rPr>
                <w:rFonts w:ascii="Arial" w:hAnsi="Arial"/>
                <w:b/>
                <w:color w:val="FFFFFF"/>
                <w:sz w:val="15"/>
              </w:rPr>
              <w:t>Confirmed state from project status</w:t>
            </w:r>
          </w:p>
        </w:tc>
        <w:tc>
          <w:tcPr>
            <w:tcW w:type="dxa" w:w="3408"/>
            <w:vAlign w:val="top"/>
            <w:shd w:fill="17365D"/>
          </w:tcPr>
          <w:p>
            <w:pPr>
              <w:spacing w:after="0"/>
            </w:pPr>
            <w:r/>
            <w:r>
              <w:rPr>
                <w:rFonts w:ascii="Arial" w:hAnsi="Arial"/>
                <w:b/>
                <w:color w:val="FFFFFF"/>
                <w:sz w:val="15"/>
              </w:rPr>
              <w:t>Remaining gap</w:t>
            </w:r>
          </w:p>
        </w:tc>
      </w:tr>
      <w:tr>
        <w:tc>
          <w:tcPr>
            <w:tcW w:type="dxa" w:w="3408"/>
            <w:vAlign w:val="top"/>
            <w:shd w:fill="FFFFFF"/>
          </w:tcPr>
          <w:p>
            <w:pPr>
              <w:spacing w:after="0"/>
            </w:pPr>
            <w:r/>
            <w:r>
              <w:rPr>
                <w:rFonts w:ascii="Arial" w:hAnsi="Arial"/>
                <w:b w:val="0"/>
                <w:color w:val="404040"/>
                <w:sz w:val="15"/>
              </w:rPr>
              <w:t>Backend</w:t>
            </w:r>
          </w:p>
        </w:tc>
        <w:tc>
          <w:tcPr>
            <w:tcW w:type="dxa" w:w="3408"/>
            <w:vAlign w:val="top"/>
            <w:shd w:fill="FFFFFF"/>
          </w:tcPr>
          <w:p>
            <w:pPr>
              <w:spacing w:after="0"/>
            </w:pPr>
            <w:r/>
            <w:r>
              <w:rPr>
                <w:rFonts w:ascii="Arial" w:hAnsi="Arial"/>
                <w:b w:val="0"/>
                <w:color w:val="404040"/>
                <w:sz w:val="15"/>
              </w:rPr>
              <w:t>28 domain modules; Swagger; JWT guards; Prisma; PostgreSQL runtime verified; 8 suites/29 tests green</w:t>
            </w:r>
          </w:p>
        </w:tc>
        <w:tc>
          <w:tcPr>
            <w:tcW w:type="dxa" w:w="3408"/>
            <w:vAlign w:val="top"/>
            <w:shd w:fill="FFFFFF"/>
          </w:tcPr>
          <w:p>
            <w:pPr>
              <w:spacing w:after="0"/>
            </w:pPr>
            <w:r/>
            <w:r>
              <w:rPr>
                <w:rFonts w:ascii="Arial" w:hAnsi="Arial"/>
                <w:b w:val="0"/>
                <w:color w:val="404040"/>
                <w:sz w:val="15"/>
              </w:rPr>
              <w:t>Business depth and workflows still need to be completed for missing operational domains.</w:t>
            </w:r>
          </w:p>
        </w:tc>
      </w:tr>
      <w:tr>
        <w:tc>
          <w:tcPr>
            <w:tcW w:type="dxa" w:w="3408"/>
            <w:vAlign w:val="top"/>
            <w:shd w:fill="F2F2F2"/>
          </w:tcPr>
          <w:p>
            <w:pPr>
              <w:spacing w:after="0"/>
            </w:pPr>
            <w:r/>
            <w:r>
              <w:rPr>
                <w:rFonts w:ascii="Arial" w:hAnsi="Arial"/>
                <w:b w:val="0"/>
                <w:color w:val="404040"/>
                <w:sz w:val="15"/>
              </w:rPr>
              <w:t>Database</w:t>
            </w:r>
          </w:p>
        </w:tc>
        <w:tc>
          <w:tcPr>
            <w:tcW w:type="dxa" w:w="3408"/>
            <w:vAlign w:val="top"/>
            <w:shd w:fill="F2F2F2"/>
          </w:tcPr>
          <w:p>
            <w:pPr>
              <w:spacing w:after="0"/>
            </w:pPr>
            <w:r/>
            <w:r>
              <w:rPr>
                <w:rFonts w:ascii="Arial" w:hAnsi="Arial"/>
                <w:b w:val="0"/>
                <w:color w:val="404040"/>
                <w:sz w:val="15"/>
              </w:rPr>
              <w:t>66 tables in local PostgreSQL; migration applied; schema in sync</w:t>
            </w:r>
          </w:p>
        </w:tc>
        <w:tc>
          <w:tcPr>
            <w:tcW w:type="dxa" w:w="3408"/>
            <w:vAlign w:val="top"/>
            <w:shd w:fill="F2F2F2"/>
          </w:tcPr>
          <w:p>
            <w:pPr>
              <w:spacing w:after="0"/>
            </w:pPr>
            <w:r/>
            <w:r>
              <w:rPr>
                <w:rFonts w:ascii="Arial" w:hAnsi="Arial"/>
                <w:b w:val="0"/>
                <w:color w:val="404040"/>
                <w:sz w:val="15"/>
              </w:rPr>
              <w:t>New target entities/fields need Prisma migrations and integration tests.</w:t>
            </w:r>
          </w:p>
        </w:tc>
      </w:tr>
      <w:tr>
        <w:tc>
          <w:tcPr>
            <w:tcW w:type="dxa" w:w="3408"/>
            <w:vAlign w:val="top"/>
            <w:shd w:fill="FFFFFF"/>
          </w:tcPr>
          <w:p>
            <w:pPr>
              <w:spacing w:after="0"/>
            </w:pPr>
            <w:r/>
            <w:r>
              <w:rPr>
                <w:rFonts w:ascii="Arial" w:hAnsi="Arial"/>
                <w:b w:val="0"/>
                <w:color w:val="404040"/>
                <w:sz w:val="15"/>
              </w:rPr>
              <w:t>Web</w:t>
            </w:r>
          </w:p>
        </w:tc>
        <w:tc>
          <w:tcPr>
            <w:tcW w:type="dxa" w:w="3408"/>
            <w:vAlign w:val="top"/>
            <w:shd w:fill="FFFFFF"/>
          </w:tcPr>
          <w:p>
            <w:pPr>
              <w:spacing w:after="0"/>
            </w:pPr>
            <w:r/>
            <w:r>
              <w:rPr>
                <w:rFonts w:ascii="Arial" w:hAnsi="Arial"/>
                <w:b w:val="0"/>
                <w:color w:val="404040"/>
                <w:sz w:val="15"/>
              </w:rPr>
              <w:t>18 routes implemented; pages compile; several pages migrated from mock to real API</w:t>
            </w:r>
          </w:p>
        </w:tc>
        <w:tc>
          <w:tcPr>
            <w:tcW w:type="dxa" w:w="3408"/>
            <w:vAlign w:val="top"/>
            <w:shd w:fill="FFFFFF"/>
          </w:tcPr>
          <w:p>
            <w:pPr>
              <w:spacing w:after="0"/>
            </w:pPr>
            <w:r/>
            <w:r>
              <w:rPr>
                <w:rFonts w:ascii="Arial" w:hAnsi="Arial"/>
                <w:b w:val="0"/>
                <w:color w:val="404040"/>
                <w:sz w:val="15"/>
              </w:rPr>
              <w:t>Interactive business actions and missing domain screens remain.</w:t>
            </w:r>
          </w:p>
        </w:tc>
      </w:tr>
      <w:tr>
        <w:tc>
          <w:tcPr>
            <w:tcW w:type="dxa" w:w="3408"/>
            <w:vAlign w:val="top"/>
            <w:shd w:fill="F2F2F2"/>
          </w:tcPr>
          <w:p>
            <w:pPr>
              <w:spacing w:after="0"/>
            </w:pPr>
            <w:r/>
            <w:r>
              <w:rPr>
                <w:rFonts w:ascii="Arial" w:hAnsi="Arial"/>
                <w:b w:val="0"/>
                <w:color w:val="404040"/>
                <w:sz w:val="15"/>
              </w:rPr>
              <w:t>Mobile</w:t>
            </w:r>
          </w:p>
        </w:tc>
        <w:tc>
          <w:tcPr>
            <w:tcW w:type="dxa" w:w="3408"/>
            <w:vAlign w:val="top"/>
            <w:shd w:fill="F2F2F2"/>
          </w:tcPr>
          <w:p>
            <w:pPr>
              <w:spacing w:after="0"/>
            </w:pPr>
            <w:r/>
            <w:r>
              <w:rPr>
                <w:rFonts w:ascii="Arial" w:hAnsi="Arial"/>
                <w:b w:val="0"/>
                <w:color w:val="404040"/>
                <w:sz w:val="15"/>
              </w:rPr>
              <w:t>Attendance, daily report, delivery, expense, notifications, settings, offline queue scaffold</w:t>
            </w:r>
          </w:p>
        </w:tc>
        <w:tc>
          <w:tcPr>
            <w:tcW w:type="dxa" w:w="3408"/>
            <w:vAlign w:val="top"/>
            <w:shd w:fill="F2F2F2"/>
          </w:tcPr>
          <w:p>
            <w:pPr>
              <w:spacing w:after="0"/>
            </w:pPr>
            <w:r/>
            <w:r>
              <w:rPr>
                <w:rFonts w:ascii="Arial" w:hAnsi="Arial"/>
                <w:b w:val="0"/>
                <w:color w:val="404040"/>
                <w:sz w:val="15"/>
              </w:rPr>
              <w:t>Hardcoded demo user; auth not wired; offline conflict model incomplete.</w:t>
            </w:r>
          </w:p>
        </w:tc>
      </w:tr>
      <w:tr>
        <w:tc>
          <w:tcPr>
            <w:tcW w:type="dxa" w:w="3408"/>
            <w:vAlign w:val="top"/>
            <w:shd w:fill="FFFFFF"/>
          </w:tcPr>
          <w:p>
            <w:pPr>
              <w:spacing w:after="0"/>
            </w:pPr>
            <w:r/>
            <w:r>
              <w:rPr>
                <w:rFonts w:ascii="Arial" w:hAnsi="Arial"/>
                <w:b w:val="0"/>
                <w:color w:val="404040"/>
                <w:sz w:val="15"/>
              </w:rPr>
              <w:t>Authentication</w:t>
            </w:r>
          </w:p>
        </w:tc>
        <w:tc>
          <w:tcPr>
            <w:tcW w:type="dxa" w:w="3408"/>
            <w:vAlign w:val="top"/>
            <w:shd w:fill="FFFFFF"/>
          </w:tcPr>
          <w:p>
            <w:pPr>
              <w:spacing w:after="0"/>
            </w:pPr>
            <w:r/>
            <w:r>
              <w:rPr>
                <w:rFonts w:ascii="Arial" w:hAnsi="Arial"/>
                <w:b w:val="0"/>
                <w:color w:val="404040"/>
                <w:sz w:val="15"/>
              </w:rPr>
              <w:t>Web + backend JWT login/me verified</w:t>
            </w:r>
          </w:p>
        </w:tc>
        <w:tc>
          <w:tcPr>
            <w:tcW w:type="dxa" w:w="3408"/>
            <w:vAlign w:val="top"/>
            <w:shd w:fill="FFFFFF"/>
          </w:tcPr>
          <w:p>
            <w:pPr>
              <w:spacing w:after="0"/>
            </w:pPr>
            <w:r/>
            <w:r>
              <w:rPr>
                <w:rFonts w:ascii="Arial" w:hAnsi="Arial"/>
                <w:b w:val="0"/>
                <w:color w:val="404040"/>
                <w:sz w:val="15"/>
              </w:rPr>
              <w:t>Mobile auth, lifecycle, device/session handling and role/scope enforcement remain.</w:t>
            </w:r>
          </w:p>
        </w:tc>
      </w:tr>
      <w:tr>
        <w:tc>
          <w:tcPr>
            <w:tcW w:type="dxa" w:w="3408"/>
            <w:vAlign w:val="top"/>
            <w:shd w:fill="F2F2F2"/>
          </w:tcPr>
          <w:p>
            <w:pPr>
              <w:spacing w:after="0"/>
            </w:pPr>
            <w:r/>
            <w:r>
              <w:rPr>
                <w:rFonts w:ascii="Arial" w:hAnsi="Arial"/>
                <w:b w:val="0"/>
                <w:color w:val="404040"/>
                <w:sz w:val="15"/>
              </w:rPr>
              <w:t>OCR</w:t>
            </w:r>
          </w:p>
        </w:tc>
        <w:tc>
          <w:tcPr>
            <w:tcW w:type="dxa" w:w="3408"/>
            <w:vAlign w:val="top"/>
            <w:shd w:fill="F2F2F2"/>
          </w:tcPr>
          <w:p>
            <w:pPr>
              <w:spacing w:after="0"/>
            </w:pPr>
            <w:r/>
            <w:r>
              <w:rPr>
                <w:rFonts w:ascii="Arial" w:hAnsi="Arial"/>
                <w:b w:val="0"/>
                <w:color w:val="404040"/>
                <w:sz w:val="15"/>
              </w:rPr>
              <w:t>Edge Function + FastAPI/PaddleOCR path implemented in source</w:t>
            </w:r>
          </w:p>
        </w:tc>
        <w:tc>
          <w:tcPr>
            <w:tcW w:type="dxa" w:w="3408"/>
            <w:vAlign w:val="top"/>
            <w:shd w:fill="F2F2F2"/>
          </w:tcPr>
          <w:p>
            <w:pPr>
              <w:spacing w:after="0"/>
            </w:pPr>
            <w:r/>
            <w:r>
              <w:rPr>
                <w:rFonts w:ascii="Arial" w:hAnsi="Arial"/>
                <w:b w:val="0"/>
                <w:color w:val="404040"/>
                <w:sz w:val="15"/>
              </w:rPr>
              <w:t>Live deployment and architecture alignment with NestJS/PostgreSQL path remain.</w:t>
            </w:r>
          </w:p>
        </w:tc>
      </w:tr>
      <w:tr>
        <w:tc>
          <w:tcPr>
            <w:tcW w:type="dxa" w:w="3408"/>
            <w:vAlign w:val="top"/>
            <w:shd w:fill="FFFFFF"/>
          </w:tcPr>
          <w:p>
            <w:pPr>
              <w:spacing w:after="0"/>
            </w:pPr>
            <w:r/>
            <w:r>
              <w:rPr>
                <w:rFonts w:ascii="Arial" w:hAnsi="Arial"/>
                <w:b w:val="0"/>
                <w:color w:val="404040"/>
                <w:sz w:val="15"/>
              </w:rPr>
              <w:t>Deployment</w:t>
            </w:r>
          </w:p>
        </w:tc>
        <w:tc>
          <w:tcPr>
            <w:tcW w:type="dxa" w:w="3408"/>
            <w:vAlign w:val="top"/>
            <w:shd w:fill="FFFFFF"/>
          </w:tcPr>
          <w:p>
            <w:pPr>
              <w:spacing w:after="0"/>
            </w:pPr>
            <w:r/>
            <w:r>
              <w:rPr>
                <w:rFonts w:ascii="Arial" w:hAnsi="Arial"/>
                <w:b w:val="0"/>
                <w:color w:val="404040"/>
                <w:sz w:val="15"/>
              </w:rPr>
              <w:t>Local dev operational</w:t>
            </w:r>
          </w:p>
        </w:tc>
        <w:tc>
          <w:tcPr>
            <w:tcW w:type="dxa" w:w="3408"/>
            <w:vAlign w:val="top"/>
            <w:shd w:fill="FFFFFF"/>
          </w:tcPr>
          <w:p>
            <w:pPr>
              <w:spacing w:after="0"/>
            </w:pPr>
            <w:r/>
            <w:r>
              <w:rPr>
                <w:rFonts w:ascii="Arial" w:hAnsi="Arial"/>
                <w:b w:val="0"/>
                <w:color w:val="404040"/>
                <w:sz w:val="15"/>
              </w:rPr>
              <w:t>Staging/production, observability, backup/restore and release process not started.</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FFF2CC"/>
          </w:tcPr>
          <w:p>
            <w:pPr>
              <w:spacing w:after="40"/>
            </w:pPr>
            <w:r>
              <w:rPr>
                <w:b/>
                <w:color w:val="17365D"/>
                <w:sz w:val="19"/>
              </w:rPr>
              <w:t>Important architecture inconsistency</w:t>
            </w:r>
          </w:p>
          <w:p>
            <w:pPr>
              <w:spacing w:after="0"/>
            </w:pPr>
            <w:r>
              <w:rPr>
                <w:color w:val="404040"/>
                <w:sz w:val="18"/>
              </w:rPr>
              <w:t>The project status confirms Web/Mobile → NestJS → Prisma → PostgreSQL as the current runtime path, while the OCR design still points through Supabase Storage/Edge Function. Do not expand production scope until the file/OCR path is deliberately retained or migrated.</w:t>
            </w:r>
          </w:p>
        </w:tc>
      </w:tr>
    </w:tbl>
    <w:p>
      <w:pPr>
        <w:spacing w:after="40"/>
      </w:pPr>
    </w:p>
    <w:p>
      <w:pPr>
        <w:pStyle w:val="Heading1"/>
      </w:pPr>
      <w:r>
        <w:t>3. Gap-to-build master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17365D"/>
          </w:tcPr>
          <w:p>
            <w:pPr>
              <w:spacing w:after="0"/>
            </w:pPr>
            <w:r/>
            <w:r>
              <w:rPr>
                <w:rFonts w:ascii="Arial" w:hAnsi="Arial"/>
                <w:b/>
                <w:color w:val="FFFFFF"/>
                <w:sz w:val="15"/>
              </w:rPr>
              <w:t>ID</w:t>
            </w:r>
          </w:p>
        </w:tc>
        <w:tc>
          <w:tcPr>
            <w:tcW w:type="dxa" w:w="2045"/>
            <w:vAlign w:val="top"/>
            <w:shd w:fill="17365D"/>
          </w:tcPr>
          <w:p>
            <w:pPr>
              <w:spacing w:after="0"/>
            </w:pPr>
            <w:r/>
            <w:r>
              <w:rPr>
                <w:rFonts w:ascii="Arial" w:hAnsi="Arial"/>
                <w:b/>
                <w:color w:val="FFFFFF"/>
                <w:sz w:val="15"/>
              </w:rPr>
              <w:t>Capability</w:t>
            </w:r>
          </w:p>
        </w:tc>
        <w:tc>
          <w:tcPr>
            <w:tcW w:type="dxa" w:w="2045"/>
            <w:vAlign w:val="top"/>
            <w:shd w:fill="17365D"/>
          </w:tcPr>
          <w:p>
            <w:pPr>
              <w:spacing w:after="0"/>
            </w:pPr>
            <w:r/>
            <w:r>
              <w:rPr>
                <w:rFonts w:ascii="Arial" w:hAnsi="Arial"/>
                <w:b/>
                <w:color w:val="FFFFFF"/>
                <w:sz w:val="15"/>
              </w:rPr>
              <w:t>Type</w:t>
            </w:r>
          </w:p>
        </w:tc>
        <w:tc>
          <w:tcPr>
            <w:tcW w:type="dxa" w:w="2045"/>
            <w:vAlign w:val="top"/>
            <w:shd w:fill="17365D"/>
          </w:tcPr>
          <w:p>
            <w:pPr>
              <w:spacing w:after="0"/>
            </w:pPr>
            <w:r/>
            <w:r>
              <w:rPr>
                <w:rFonts w:ascii="Arial" w:hAnsi="Arial"/>
                <w:b/>
                <w:color w:val="FFFFFF"/>
                <w:sz w:val="15"/>
              </w:rPr>
              <w:t>Core deliverable</w:t>
            </w:r>
          </w:p>
        </w:tc>
        <w:tc>
          <w:tcPr>
            <w:tcW w:type="dxa" w:w="2045"/>
            <w:vAlign w:val="top"/>
            <w:shd w:fill="17365D"/>
          </w:tcPr>
          <w:p>
            <w:pPr>
              <w:spacing w:after="0"/>
            </w:pPr>
            <w:r/>
            <w:r>
              <w:rPr>
                <w:rFonts w:ascii="Arial" w:hAnsi="Arial"/>
                <w:b/>
                <w:color w:val="FFFFFF"/>
                <w:sz w:val="15"/>
              </w:rPr>
              <w:t>Depends on</w:t>
            </w:r>
          </w:p>
        </w:tc>
      </w:tr>
      <w:tr>
        <w:tc>
          <w:tcPr>
            <w:tcW w:type="dxa" w:w="2045"/>
            <w:vAlign w:val="top"/>
            <w:shd w:fill="FFFFFF"/>
          </w:tcPr>
          <w:p>
            <w:pPr>
              <w:spacing w:after="0"/>
            </w:pPr>
            <w:r/>
            <w:r>
              <w:rPr>
                <w:rFonts w:ascii="Arial" w:hAnsi="Arial"/>
                <w:b w:val="0"/>
                <w:color w:val="404040"/>
                <w:sz w:val="15"/>
              </w:rPr>
              <w:t>GAP-01</w:t>
            </w:r>
          </w:p>
        </w:tc>
        <w:tc>
          <w:tcPr>
            <w:tcW w:type="dxa" w:w="2045"/>
            <w:vAlign w:val="top"/>
            <w:shd w:fill="FFFFFF"/>
          </w:tcPr>
          <w:p>
            <w:pPr>
              <w:spacing w:after="0"/>
            </w:pPr>
            <w:r/>
            <w:r>
              <w:rPr>
                <w:rFonts w:ascii="Arial" w:hAnsi="Arial"/>
                <w:b w:val="0"/>
                <w:color w:val="404040"/>
                <w:sz w:val="15"/>
              </w:rPr>
              <w:t>Role &amp; permission redesign</w:t>
            </w:r>
          </w:p>
        </w:tc>
        <w:tc>
          <w:tcPr>
            <w:tcW w:type="dxa" w:w="2045"/>
            <w:vAlign w:val="top"/>
            <w:shd w:fill="FFFFFF"/>
          </w:tcPr>
          <w:p>
            <w:pPr>
              <w:spacing w:after="0"/>
            </w:pPr>
            <w:r/>
            <w:r>
              <w:rPr>
                <w:rFonts w:ascii="Arial" w:hAnsi="Arial"/>
                <w:b w:val="0"/>
                <w:color w:val="404040"/>
                <w:sz w:val="15"/>
              </w:rPr>
              <w:t>D/P</w:t>
            </w:r>
          </w:p>
        </w:tc>
        <w:tc>
          <w:tcPr>
            <w:tcW w:type="dxa" w:w="2045"/>
            <w:vAlign w:val="top"/>
            <w:shd w:fill="FFFFFF"/>
          </w:tcPr>
          <w:p>
            <w:pPr>
              <w:spacing w:after="0"/>
            </w:pPr>
            <w:r/>
            <w:r>
              <w:rPr>
                <w:rFonts w:ascii="Arial" w:hAnsi="Arial"/>
                <w:b w:val="0"/>
                <w:color w:val="404040"/>
                <w:sz w:val="15"/>
              </w:rPr>
              <w:t>RBAC + project/site scope + action permissions</w:t>
            </w:r>
          </w:p>
        </w:tc>
        <w:tc>
          <w:tcPr>
            <w:tcW w:type="dxa" w:w="2045"/>
            <w:vAlign w:val="top"/>
            <w:shd w:fill="FFFFFF"/>
          </w:tcPr>
          <w:p>
            <w:pPr>
              <w:spacing w:after="0"/>
            </w:pPr>
            <w:r/>
            <w:r>
              <w:rPr>
                <w:rFonts w:ascii="Arial" w:hAnsi="Arial"/>
                <w:b w:val="0"/>
                <w:color w:val="404040"/>
                <w:sz w:val="15"/>
              </w:rPr>
              <w:t>GAP-02,03,04,05,06,07,08,10,13,15,17</w:t>
            </w:r>
          </w:p>
        </w:tc>
      </w:tr>
      <w:tr>
        <w:tc>
          <w:tcPr>
            <w:tcW w:type="dxa" w:w="2045"/>
            <w:vAlign w:val="top"/>
            <w:shd w:fill="F2F2F2"/>
          </w:tcPr>
          <w:p>
            <w:pPr>
              <w:spacing w:after="0"/>
            </w:pPr>
            <w:r/>
            <w:r>
              <w:rPr>
                <w:rFonts w:ascii="Arial" w:hAnsi="Arial"/>
                <w:b w:val="0"/>
                <w:color w:val="404040"/>
                <w:sz w:val="15"/>
              </w:rPr>
              <w:t>GAP-02</w:t>
            </w:r>
          </w:p>
        </w:tc>
        <w:tc>
          <w:tcPr>
            <w:tcW w:type="dxa" w:w="2045"/>
            <w:vAlign w:val="top"/>
            <w:shd w:fill="F2F2F2"/>
          </w:tcPr>
          <w:p>
            <w:pPr>
              <w:spacing w:after="0"/>
            </w:pPr>
            <w:r/>
            <w:r>
              <w:rPr>
                <w:rFonts w:ascii="Arial" w:hAnsi="Arial"/>
                <w:b w:val="0"/>
                <w:color w:val="404040"/>
                <w:sz w:val="15"/>
              </w:rPr>
              <w:t>Daily work planning &amp; task assignment</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Work plans, tasks, assignments, progress</w:t>
            </w:r>
          </w:p>
        </w:tc>
        <w:tc>
          <w:tcPr>
            <w:tcW w:type="dxa" w:w="2045"/>
            <w:vAlign w:val="top"/>
            <w:shd w:fill="F2F2F2"/>
          </w:tcPr>
          <w:p>
            <w:pPr>
              <w:spacing w:after="0"/>
            </w:pPr>
            <w:r/>
            <w:r>
              <w:rPr>
                <w:rFonts w:ascii="Arial" w:hAnsi="Arial"/>
                <w:b w:val="0"/>
                <w:color w:val="404040"/>
                <w:sz w:val="15"/>
              </w:rPr>
              <w:t>GAP-01,03,05</w:t>
            </w:r>
          </w:p>
        </w:tc>
      </w:tr>
      <w:tr>
        <w:tc>
          <w:tcPr>
            <w:tcW w:type="dxa" w:w="2045"/>
            <w:vAlign w:val="top"/>
            <w:shd w:fill="FFFFFF"/>
          </w:tcPr>
          <w:p>
            <w:pPr>
              <w:spacing w:after="0"/>
            </w:pPr>
            <w:r/>
            <w:r>
              <w:rPr>
                <w:rFonts w:ascii="Arial" w:hAnsi="Arial"/>
                <w:b w:val="0"/>
                <w:color w:val="404040"/>
                <w:sz w:val="15"/>
              </w:rPr>
              <w:t>GAP-03</w:t>
            </w:r>
          </w:p>
        </w:tc>
        <w:tc>
          <w:tcPr>
            <w:tcW w:type="dxa" w:w="2045"/>
            <w:vAlign w:val="top"/>
            <w:shd w:fill="FFFFFF"/>
          </w:tcPr>
          <w:p>
            <w:pPr>
              <w:spacing w:after="0"/>
            </w:pPr>
            <w:r/>
            <w:r>
              <w:rPr>
                <w:rFonts w:ascii="Arial" w:hAnsi="Arial"/>
                <w:b w:val="0"/>
                <w:color w:val="404040"/>
                <w:sz w:val="15"/>
              </w:rPr>
              <w:t>Project Manager control layer</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Milestones, budgets, risks, issues, variations</w:t>
            </w:r>
          </w:p>
        </w:tc>
        <w:tc>
          <w:tcPr>
            <w:tcW w:type="dxa" w:w="2045"/>
            <w:vAlign w:val="top"/>
            <w:shd w:fill="FFFFFF"/>
          </w:tcPr>
          <w:p>
            <w:pPr>
              <w:spacing w:after="0"/>
            </w:pPr>
            <w:r/>
            <w:r>
              <w:rPr>
                <w:rFonts w:ascii="Arial" w:hAnsi="Arial"/>
                <w:b w:val="0"/>
                <w:color w:val="404040"/>
                <w:sz w:val="15"/>
              </w:rPr>
              <w:t>GAP-01,02,04,08,10,11,12</w:t>
            </w:r>
          </w:p>
        </w:tc>
      </w:tr>
      <w:tr>
        <w:tc>
          <w:tcPr>
            <w:tcW w:type="dxa" w:w="2045"/>
            <w:vAlign w:val="top"/>
            <w:shd w:fill="F2F2F2"/>
          </w:tcPr>
          <w:p>
            <w:pPr>
              <w:spacing w:after="0"/>
            </w:pPr>
            <w:r/>
            <w:r>
              <w:rPr>
                <w:rFonts w:ascii="Arial" w:hAnsi="Arial"/>
                <w:b w:val="0"/>
                <w:color w:val="404040"/>
                <w:sz w:val="15"/>
              </w:rPr>
              <w:t>GAP-04</w:t>
            </w:r>
          </w:p>
        </w:tc>
        <w:tc>
          <w:tcPr>
            <w:tcW w:type="dxa" w:w="2045"/>
            <w:vAlign w:val="top"/>
            <w:shd w:fill="F2F2F2"/>
          </w:tcPr>
          <w:p>
            <w:pPr>
              <w:spacing w:after="0"/>
            </w:pPr>
            <w:r/>
            <w:r>
              <w:rPr>
                <w:rFonts w:ascii="Arial" w:hAnsi="Arial"/>
                <w:b w:val="0"/>
                <w:color w:val="404040"/>
                <w:sz w:val="15"/>
              </w:rPr>
              <w:t>Procurement &amp; material request workflow</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Requests, quotes, PO, approvals, receipt</w:t>
            </w:r>
          </w:p>
        </w:tc>
        <w:tc>
          <w:tcPr>
            <w:tcW w:type="dxa" w:w="2045"/>
            <w:vAlign w:val="top"/>
            <w:shd w:fill="F2F2F2"/>
          </w:tcPr>
          <w:p>
            <w:pPr>
              <w:spacing w:after="0"/>
            </w:pPr>
            <w:r/>
            <w:r>
              <w:rPr>
                <w:rFonts w:ascii="Arial" w:hAnsi="Arial"/>
                <w:b w:val="0"/>
                <w:color w:val="404040"/>
                <w:sz w:val="15"/>
              </w:rPr>
              <w:t>GAP-01,03,05,15</w:t>
            </w:r>
          </w:p>
        </w:tc>
      </w:tr>
      <w:tr>
        <w:tc>
          <w:tcPr>
            <w:tcW w:type="dxa" w:w="2045"/>
            <w:vAlign w:val="top"/>
            <w:shd w:fill="FFFFFF"/>
          </w:tcPr>
          <w:p>
            <w:pPr>
              <w:spacing w:after="0"/>
            </w:pPr>
            <w:r/>
            <w:r>
              <w:rPr>
                <w:rFonts w:ascii="Arial" w:hAnsi="Arial"/>
                <w:b w:val="0"/>
                <w:color w:val="404040"/>
                <w:sz w:val="15"/>
              </w:rPr>
              <w:t>GAP-05</w:t>
            </w:r>
          </w:p>
        </w:tc>
        <w:tc>
          <w:tcPr>
            <w:tcW w:type="dxa" w:w="2045"/>
            <w:vAlign w:val="top"/>
            <w:shd w:fill="FFFFFF"/>
          </w:tcPr>
          <w:p>
            <w:pPr>
              <w:spacing w:after="0"/>
            </w:pPr>
            <w:r/>
            <w:r>
              <w:rPr>
                <w:rFonts w:ascii="Arial" w:hAnsi="Arial"/>
                <w:b w:val="0"/>
                <w:color w:val="404040"/>
                <w:sz w:val="15"/>
              </w:rPr>
              <w:t>Stock traceability, tools &amp; assets</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Lots, locations, movements, tools/assets</w:t>
            </w:r>
          </w:p>
        </w:tc>
        <w:tc>
          <w:tcPr>
            <w:tcW w:type="dxa" w:w="2045"/>
            <w:vAlign w:val="top"/>
            <w:shd w:fill="FFFFFF"/>
          </w:tcPr>
          <w:p>
            <w:pPr>
              <w:spacing w:after="0"/>
            </w:pPr>
            <w:r/>
            <w:r>
              <w:rPr>
                <w:rFonts w:ascii="Arial" w:hAnsi="Arial"/>
                <w:b w:val="0"/>
                <w:color w:val="404040"/>
                <w:sz w:val="15"/>
              </w:rPr>
              <w:t>GAP-01,04,02</w:t>
            </w:r>
          </w:p>
        </w:tc>
      </w:tr>
      <w:tr>
        <w:tc>
          <w:tcPr>
            <w:tcW w:type="dxa" w:w="2045"/>
            <w:vAlign w:val="top"/>
            <w:shd w:fill="F2F2F2"/>
          </w:tcPr>
          <w:p>
            <w:pPr>
              <w:spacing w:after="0"/>
            </w:pPr>
            <w:r/>
            <w:r>
              <w:rPr>
                <w:rFonts w:ascii="Arial" w:hAnsi="Arial"/>
                <w:b w:val="0"/>
                <w:color w:val="404040"/>
                <w:sz w:val="15"/>
              </w:rPr>
              <w:t>GAP-06</w:t>
            </w:r>
          </w:p>
        </w:tc>
        <w:tc>
          <w:tcPr>
            <w:tcW w:type="dxa" w:w="2045"/>
            <w:vAlign w:val="top"/>
            <w:shd w:fill="F2F2F2"/>
          </w:tcPr>
          <w:p>
            <w:pPr>
              <w:spacing w:after="0"/>
            </w:pPr>
            <w:r/>
            <w:r>
              <w:rPr>
                <w:rFonts w:ascii="Arial" w:hAnsi="Arial"/>
                <w:b w:val="0"/>
                <w:color w:val="404040"/>
                <w:sz w:val="15"/>
              </w:rPr>
              <w:t>HSE / safety workflow</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Toolbox, incidents, PPE, actions</w:t>
            </w:r>
          </w:p>
        </w:tc>
        <w:tc>
          <w:tcPr>
            <w:tcW w:type="dxa" w:w="2045"/>
            <w:vAlign w:val="top"/>
            <w:shd w:fill="F2F2F2"/>
          </w:tcPr>
          <w:p>
            <w:pPr>
              <w:spacing w:after="0"/>
            </w:pPr>
            <w:r/>
            <w:r>
              <w:rPr>
                <w:rFonts w:ascii="Arial" w:hAnsi="Arial"/>
                <w:b w:val="0"/>
                <w:color w:val="404040"/>
                <w:sz w:val="15"/>
              </w:rPr>
              <w:t>GAP-01,02,09,16</w:t>
            </w:r>
          </w:p>
        </w:tc>
      </w:tr>
      <w:tr>
        <w:tc>
          <w:tcPr>
            <w:tcW w:type="dxa" w:w="2045"/>
            <w:vAlign w:val="top"/>
            <w:shd w:fill="FFFFFF"/>
          </w:tcPr>
          <w:p>
            <w:pPr>
              <w:spacing w:after="0"/>
            </w:pPr>
            <w:r/>
            <w:r>
              <w:rPr>
                <w:rFonts w:ascii="Arial" w:hAnsi="Arial"/>
                <w:b w:val="0"/>
                <w:color w:val="404040"/>
                <w:sz w:val="15"/>
              </w:rPr>
              <w:t>GAP-07</w:t>
            </w:r>
          </w:p>
        </w:tc>
        <w:tc>
          <w:tcPr>
            <w:tcW w:type="dxa" w:w="2045"/>
            <w:vAlign w:val="top"/>
            <w:shd w:fill="FFFFFF"/>
          </w:tcPr>
          <w:p>
            <w:pPr>
              <w:spacing w:after="0"/>
            </w:pPr>
            <w:r/>
            <w:r>
              <w:rPr>
                <w:rFonts w:ascii="Arial" w:hAnsi="Arial"/>
                <w:b w:val="0"/>
                <w:color w:val="404040"/>
                <w:sz w:val="15"/>
              </w:rPr>
              <w:t>Quality &amp; punch list</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Inspections, defects, corrective actions</w:t>
            </w:r>
          </w:p>
        </w:tc>
        <w:tc>
          <w:tcPr>
            <w:tcW w:type="dxa" w:w="2045"/>
            <w:vAlign w:val="top"/>
            <w:shd w:fill="FFFFFF"/>
          </w:tcPr>
          <w:p>
            <w:pPr>
              <w:spacing w:after="0"/>
            </w:pPr>
            <w:r/>
            <w:r>
              <w:rPr>
                <w:rFonts w:ascii="Arial" w:hAnsi="Arial"/>
                <w:b w:val="0"/>
                <w:color w:val="404040"/>
                <w:sz w:val="15"/>
              </w:rPr>
              <w:t>GAP-01,02,08,09</w:t>
            </w:r>
          </w:p>
        </w:tc>
      </w:tr>
      <w:tr>
        <w:tc>
          <w:tcPr>
            <w:tcW w:type="dxa" w:w="2045"/>
            <w:vAlign w:val="top"/>
            <w:shd w:fill="F2F2F2"/>
          </w:tcPr>
          <w:p>
            <w:pPr>
              <w:spacing w:after="0"/>
            </w:pPr>
            <w:r/>
            <w:r>
              <w:rPr>
                <w:rFonts w:ascii="Arial" w:hAnsi="Arial"/>
                <w:b w:val="0"/>
                <w:color w:val="404040"/>
                <w:sz w:val="15"/>
              </w:rPr>
              <w:t>GAP-08</w:t>
            </w:r>
          </w:p>
        </w:tc>
        <w:tc>
          <w:tcPr>
            <w:tcW w:type="dxa" w:w="2045"/>
            <w:vAlign w:val="top"/>
            <w:shd w:fill="F2F2F2"/>
          </w:tcPr>
          <w:p>
            <w:pPr>
              <w:spacing w:after="0"/>
            </w:pPr>
            <w:r/>
            <w:r>
              <w:rPr>
                <w:rFonts w:ascii="Arial" w:hAnsi="Arial"/>
                <w:b w:val="0"/>
                <w:color w:val="404040"/>
                <w:sz w:val="15"/>
              </w:rPr>
              <w:t>RFI / design change control</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RFIs, approvals, field instructions</w:t>
            </w:r>
          </w:p>
        </w:tc>
        <w:tc>
          <w:tcPr>
            <w:tcW w:type="dxa" w:w="2045"/>
            <w:vAlign w:val="top"/>
            <w:shd w:fill="F2F2F2"/>
          </w:tcPr>
          <w:p>
            <w:pPr>
              <w:spacing w:after="0"/>
            </w:pPr>
            <w:r/>
            <w:r>
              <w:rPr>
                <w:rFonts w:ascii="Arial" w:hAnsi="Arial"/>
                <w:b w:val="0"/>
                <w:color w:val="404040"/>
                <w:sz w:val="15"/>
              </w:rPr>
              <w:t>GAP-01,03,07,09</w:t>
            </w:r>
          </w:p>
        </w:tc>
      </w:tr>
      <w:tr>
        <w:tc>
          <w:tcPr>
            <w:tcW w:type="dxa" w:w="2045"/>
            <w:vAlign w:val="top"/>
            <w:shd w:fill="FFFFFF"/>
          </w:tcPr>
          <w:p>
            <w:pPr>
              <w:spacing w:after="0"/>
            </w:pPr>
            <w:r/>
            <w:r>
              <w:rPr>
                <w:rFonts w:ascii="Arial" w:hAnsi="Arial"/>
                <w:b w:val="0"/>
                <w:color w:val="404040"/>
                <w:sz w:val="15"/>
              </w:rPr>
              <w:t>GAP-09</w:t>
            </w:r>
          </w:p>
        </w:tc>
        <w:tc>
          <w:tcPr>
            <w:tcW w:type="dxa" w:w="2045"/>
            <w:vAlign w:val="top"/>
            <w:shd w:fill="FFFFFF"/>
          </w:tcPr>
          <w:p>
            <w:pPr>
              <w:spacing w:after="0"/>
            </w:pPr>
            <w:r/>
            <w:r>
              <w:rPr>
                <w:rFonts w:ascii="Arial" w:hAnsi="Arial"/>
                <w:b w:val="0"/>
                <w:color w:val="404040"/>
                <w:sz w:val="15"/>
              </w:rPr>
              <w:t>Project document management</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Document, version, approval, retention</w:t>
            </w:r>
          </w:p>
        </w:tc>
        <w:tc>
          <w:tcPr>
            <w:tcW w:type="dxa" w:w="2045"/>
            <w:vAlign w:val="top"/>
            <w:shd w:fill="FFFFFF"/>
          </w:tcPr>
          <w:p>
            <w:pPr>
              <w:spacing w:after="0"/>
            </w:pPr>
            <w:r/>
            <w:r>
              <w:rPr>
                <w:rFonts w:ascii="Arial" w:hAnsi="Arial"/>
                <w:b w:val="0"/>
                <w:color w:val="404040"/>
                <w:sz w:val="15"/>
              </w:rPr>
              <w:t>GAP-01,08,12,17</w:t>
            </w:r>
          </w:p>
        </w:tc>
      </w:tr>
      <w:tr>
        <w:tc>
          <w:tcPr>
            <w:tcW w:type="dxa" w:w="2045"/>
            <w:vAlign w:val="top"/>
            <w:shd w:fill="F2F2F2"/>
          </w:tcPr>
          <w:p>
            <w:pPr>
              <w:spacing w:after="0"/>
            </w:pPr>
            <w:r/>
            <w:r>
              <w:rPr>
                <w:rFonts w:ascii="Arial" w:hAnsi="Arial"/>
                <w:b w:val="0"/>
                <w:color w:val="404040"/>
                <w:sz w:val="15"/>
              </w:rPr>
              <w:t>GAP-10</w:t>
            </w:r>
          </w:p>
        </w:tc>
        <w:tc>
          <w:tcPr>
            <w:tcW w:type="dxa" w:w="2045"/>
            <w:vAlign w:val="top"/>
            <w:shd w:fill="F2F2F2"/>
          </w:tcPr>
          <w:p>
            <w:pPr>
              <w:spacing w:after="0"/>
            </w:pPr>
            <w:r/>
            <w:r>
              <w:rPr>
                <w:rFonts w:ascii="Arial" w:hAnsi="Arial"/>
                <w:b w:val="0"/>
                <w:color w:val="404040"/>
                <w:sz w:val="15"/>
              </w:rPr>
              <w:t>Subcontractor management</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Contracts, workers, compliance, progress</w:t>
            </w:r>
          </w:p>
        </w:tc>
        <w:tc>
          <w:tcPr>
            <w:tcW w:type="dxa" w:w="2045"/>
            <w:vAlign w:val="top"/>
            <w:shd w:fill="F2F2F2"/>
          </w:tcPr>
          <w:p>
            <w:pPr>
              <w:spacing w:after="0"/>
            </w:pPr>
            <w:r/>
            <w:r>
              <w:rPr>
                <w:rFonts w:ascii="Arial" w:hAnsi="Arial"/>
                <w:b w:val="0"/>
                <w:color w:val="404040"/>
                <w:sz w:val="15"/>
              </w:rPr>
              <w:t>GAP-01,02,03,04</w:t>
            </w:r>
          </w:p>
        </w:tc>
      </w:tr>
      <w:tr>
        <w:tc>
          <w:tcPr>
            <w:tcW w:type="dxa" w:w="2045"/>
            <w:vAlign w:val="top"/>
            <w:shd w:fill="FFFFFF"/>
          </w:tcPr>
          <w:p>
            <w:pPr>
              <w:spacing w:after="0"/>
            </w:pPr>
            <w:r/>
            <w:r>
              <w:rPr>
                <w:rFonts w:ascii="Arial" w:hAnsi="Arial"/>
                <w:b w:val="0"/>
                <w:color w:val="404040"/>
                <w:sz w:val="15"/>
              </w:rPr>
              <w:t>GAP-11</w:t>
            </w:r>
          </w:p>
        </w:tc>
        <w:tc>
          <w:tcPr>
            <w:tcW w:type="dxa" w:w="2045"/>
            <w:vAlign w:val="top"/>
            <w:shd w:fill="FFFFFF"/>
          </w:tcPr>
          <w:p>
            <w:pPr>
              <w:spacing w:after="0"/>
            </w:pPr>
            <w:r/>
            <w:r>
              <w:rPr>
                <w:rFonts w:ascii="Arial" w:hAnsi="Arial"/>
                <w:b w:val="0"/>
                <w:color w:val="404040"/>
                <w:sz w:val="15"/>
              </w:rPr>
              <w:t>Client / stakeholder communications</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Meetings, actions, commitments</w:t>
            </w:r>
          </w:p>
        </w:tc>
        <w:tc>
          <w:tcPr>
            <w:tcW w:type="dxa" w:w="2045"/>
            <w:vAlign w:val="top"/>
            <w:shd w:fill="FFFFFF"/>
          </w:tcPr>
          <w:p>
            <w:pPr>
              <w:spacing w:after="0"/>
            </w:pPr>
            <w:r/>
            <w:r>
              <w:rPr>
                <w:rFonts w:ascii="Arial" w:hAnsi="Arial"/>
                <w:b w:val="0"/>
                <w:color w:val="404040"/>
                <w:sz w:val="15"/>
              </w:rPr>
              <w:t>GAP-03,09,16</w:t>
            </w:r>
          </w:p>
        </w:tc>
      </w:tr>
      <w:tr>
        <w:tc>
          <w:tcPr>
            <w:tcW w:type="dxa" w:w="2045"/>
            <w:vAlign w:val="top"/>
            <w:shd w:fill="F2F2F2"/>
          </w:tcPr>
          <w:p>
            <w:pPr>
              <w:spacing w:after="0"/>
            </w:pPr>
            <w:r/>
            <w:r>
              <w:rPr>
                <w:rFonts w:ascii="Arial" w:hAnsi="Arial"/>
                <w:b w:val="0"/>
                <w:color w:val="404040"/>
                <w:sz w:val="15"/>
              </w:rPr>
              <w:t>GAP-12</w:t>
            </w:r>
          </w:p>
        </w:tc>
        <w:tc>
          <w:tcPr>
            <w:tcW w:type="dxa" w:w="2045"/>
            <w:vAlign w:val="top"/>
            <w:shd w:fill="F2F2F2"/>
          </w:tcPr>
          <w:p>
            <w:pPr>
              <w:spacing w:after="0"/>
            </w:pPr>
            <w:r/>
            <w:r>
              <w:rPr>
                <w:rFonts w:ascii="Arial" w:hAnsi="Arial"/>
                <w:b w:val="0"/>
                <w:color w:val="404040"/>
                <w:sz w:val="15"/>
              </w:rPr>
              <w:t>Commissioning, handover &amp; O&amp;M</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Handover package, assets, warranties, maintenance</w:t>
            </w:r>
          </w:p>
        </w:tc>
        <w:tc>
          <w:tcPr>
            <w:tcW w:type="dxa" w:w="2045"/>
            <w:vAlign w:val="top"/>
            <w:shd w:fill="F2F2F2"/>
          </w:tcPr>
          <w:p>
            <w:pPr>
              <w:spacing w:after="0"/>
            </w:pPr>
            <w:r/>
            <w:r>
              <w:rPr>
                <w:rFonts w:ascii="Arial" w:hAnsi="Arial"/>
                <w:b w:val="0"/>
                <w:color w:val="404040"/>
                <w:sz w:val="15"/>
              </w:rPr>
              <w:t>GAP-05,07,08,09</w:t>
            </w:r>
          </w:p>
        </w:tc>
      </w:tr>
      <w:tr>
        <w:tc>
          <w:tcPr>
            <w:tcW w:type="dxa" w:w="2045"/>
            <w:vAlign w:val="top"/>
            <w:shd w:fill="FFFFFF"/>
          </w:tcPr>
          <w:p>
            <w:pPr>
              <w:spacing w:after="0"/>
            </w:pPr>
            <w:r/>
            <w:r>
              <w:rPr>
                <w:rFonts w:ascii="Arial" w:hAnsi="Arial"/>
                <w:b w:val="0"/>
                <w:color w:val="404040"/>
                <w:sz w:val="15"/>
              </w:rPr>
              <w:t>GAP-13</w:t>
            </w:r>
          </w:p>
        </w:tc>
        <w:tc>
          <w:tcPr>
            <w:tcW w:type="dxa" w:w="2045"/>
            <w:vAlign w:val="top"/>
            <w:shd w:fill="FFFFFF"/>
          </w:tcPr>
          <w:p>
            <w:pPr>
              <w:spacing w:after="0"/>
            </w:pPr>
            <w:r/>
            <w:r>
              <w:rPr>
                <w:rFonts w:ascii="Arial" w:hAnsi="Arial"/>
                <w:b w:val="0"/>
                <w:color w:val="404040"/>
                <w:sz w:val="15"/>
              </w:rPr>
              <w:t>Mobile authentication &amp; account lifecycle</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Refresh/session/device/account state</w:t>
            </w:r>
          </w:p>
        </w:tc>
        <w:tc>
          <w:tcPr>
            <w:tcW w:type="dxa" w:w="2045"/>
            <w:vAlign w:val="top"/>
            <w:shd w:fill="FFFFFF"/>
          </w:tcPr>
          <w:p>
            <w:pPr>
              <w:spacing w:after="0"/>
            </w:pPr>
            <w:r/>
            <w:r>
              <w:rPr>
                <w:rFonts w:ascii="Arial" w:hAnsi="Arial"/>
                <w:b w:val="0"/>
                <w:color w:val="404040"/>
                <w:sz w:val="15"/>
              </w:rPr>
              <w:t>GAP-01,14,17</w:t>
            </w:r>
          </w:p>
        </w:tc>
      </w:tr>
      <w:tr>
        <w:tc>
          <w:tcPr>
            <w:tcW w:type="dxa" w:w="2045"/>
            <w:vAlign w:val="top"/>
            <w:shd w:fill="F2F2F2"/>
          </w:tcPr>
          <w:p>
            <w:pPr>
              <w:spacing w:after="0"/>
            </w:pPr>
            <w:r/>
            <w:r>
              <w:rPr>
                <w:rFonts w:ascii="Arial" w:hAnsi="Arial"/>
                <w:b w:val="0"/>
                <w:color w:val="404040"/>
                <w:sz w:val="15"/>
              </w:rPr>
              <w:t>GAP-14</w:t>
            </w:r>
          </w:p>
        </w:tc>
        <w:tc>
          <w:tcPr>
            <w:tcW w:type="dxa" w:w="2045"/>
            <w:vAlign w:val="top"/>
            <w:shd w:fill="F2F2F2"/>
          </w:tcPr>
          <w:p>
            <w:pPr>
              <w:spacing w:after="0"/>
            </w:pPr>
            <w:r/>
            <w:r>
              <w:rPr>
                <w:rFonts w:ascii="Arial" w:hAnsi="Arial"/>
                <w:b w:val="0"/>
                <w:color w:val="404040"/>
                <w:sz w:val="15"/>
              </w:rPr>
              <w:t>Offline sync &amp; conflict handling</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Idempotent sync, retries, conflict states</w:t>
            </w:r>
          </w:p>
        </w:tc>
        <w:tc>
          <w:tcPr>
            <w:tcW w:type="dxa" w:w="2045"/>
            <w:vAlign w:val="top"/>
            <w:shd w:fill="F2F2F2"/>
          </w:tcPr>
          <w:p>
            <w:pPr>
              <w:spacing w:after="0"/>
            </w:pPr>
            <w:r/>
            <w:r>
              <w:rPr>
                <w:rFonts w:ascii="Arial" w:hAnsi="Arial"/>
                <w:b w:val="0"/>
                <w:color w:val="404040"/>
                <w:sz w:val="15"/>
              </w:rPr>
              <w:t>GAP-01,02,06,15</w:t>
            </w:r>
          </w:p>
        </w:tc>
      </w:tr>
      <w:tr>
        <w:tc>
          <w:tcPr>
            <w:tcW w:type="dxa" w:w="2045"/>
            <w:vAlign w:val="top"/>
            <w:shd w:fill="FFFFFF"/>
          </w:tcPr>
          <w:p>
            <w:pPr>
              <w:spacing w:after="0"/>
            </w:pPr>
            <w:r/>
            <w:r>
              <w:rPr>
                <w:rFonts w:ascii="Arial" w:hAnsi="Arial"/>
                <w:b w:val="0"/>
                <w:color w:val="404040"/>
                <w:sz w:val="15"/>
              </w:rPr>
              <w:t>GAP-15</w:t>
            </w:r>
          </w:p>
        </w:tc>
        <w:tc>
          <w:tcPr>
            <w:tcW w:type="dxa" w:w="2045"/>
            <w:vAlign w:val="top"/>
            <w:shd w:fill="FFFFFF"/>
          </w:tcPr>
          <w:p>
            <w:pPr>
              <w:spacing w:after="0"/>
            </w:pPr>
            <w:r/>
            <w:r>
              <w:rPr>
                <w:rFonts w:ascii="Arial" w:hAnsi="Arial"/>
                <w:b w:val="0"/>
                <w:color w:val="404040"/>
                <w:sz w:val="15"/>
              </w:rPr>
              <w:t>Expense/OCR approval workflow</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Review steps, confidence, payment state</w:t>
            </w:r>
          </w:p>
        </w:tc>
        <w:tc>
          <w:tcPr>
            <w:tcW w:type="dxa" w:w="2045"/>
            <w:vAlign w:val="top"/>
            <w:shd w:fill="FFFFFF"/>
          </w:tcPr>
          <w:p>
            <w:pPr>
              <w:spacing w:after="0"/>
            </w:pPr>
            <w:r/>
            <w:r>
              <w:rPr>
                <w:rFonts w:ascii="Arial" w:hAnsi="Arial"/>
                <w:b w:val="0"/>
                <w:color w:val="404040"/>
                <w:sz w:val="15"/>
              </w:rPr>
              <w:t>GAP-01,09,13,16</w:t>
            </w:r>
          </w:p>
        </w:tc>
      </w:tr>
      <w:tr>
        <w:tc>
          <w:tcPr>
            <w:tcW w:type="dxa" w:w="2045"/>
            <w:vAlign w:val="top"/>
            <w:shd w:fill="F2F2F2"/>
          </w:tcPr>
          <w:p>
            <w:pPr>
              <w:spacing w:after="0"/>
            </w:pPr>
            <w:r/>
            <w:r>
              <w:rPr>
                <w:rFonts w:ascii="Arial" w:hAnsi="Arial"/>
                <w:b w:val="0"/>
                <w:color w:val="404040"/>
                <w:sz w:val="15"/>
              </w:rPr>
              <w:t>GAP-16</w:t>
            </w:r>
          </w:p>
        </w:tc>
        <w:tc>
          <w:tcPr>
            <w:tcW w:type="dxa" w:w="2045"/>
            <w:vAlign w:val="top"/>
            <w:shd w:fill="F2F2F2"/>
          </w:tcPr>
          <w:p>
            <w:pPr>
              <w:spacing w:after="0"/>
            </w:pPr>
            <w:r/>
            <w:r>
              <w:rPr>
                <w:rFonts w:ascii="Arial" w:hAnsi="Arial"/>
                <w:b w:val="0"/>
                <w:color w:val="404040"/>
                <w:sz w:val="15"/>
              </w:rPr>
              <w:t>Event-driven notifications</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Events, preferences, delivery</w:t>
            </w:r>
          </w:p>
        </w:tc>
        <w:tc>
          <w:tcPr>
            <w:tcW w:type="dxa" w:w="2045"/>
            <w:vAlign w:val="top"/>
            <w:shd w:fill="F2F2F2"/>
          </w:tcPr>
          <w:p>
            <w:pPr>
              <w:spacing w:after="0"/>
            </w:pPr>
            <w:r/>
            <w:r>
              <w:rPr>
                <w:rFonts w:ascii="Arial" w:hAnsi="Arial"/>
                <w:b w:val="0"/>
                <w:color w:val="404040"/>
                <w:sz w:val="15"/>
              </w:rPr>
              <w:t>GAP-01,09,15</w:t>
            </w:r>
          </w:p>
        </w:tc>
      </w:tr>
      <w:tr>
        <w:tc>
          <w:tcPr>
            <w:tcW w:type="dxa" w:w="2045"/>
            <w:vAlign w:val="top"/>
            <w:shd w:fill="FFFFFF"/>
          </w:tcPr>
          <w:p>
            <w:pPr>
              <w:spacing w:after="0"/>
            </w:pPr>
            <w:r/>
            <w:r>
              <w:rPr>
                <w:rFonts w:ascii="Arial" w:hAnsi="Arial"/>
                <w:b w:val="0"/>
                <w:color w:val="404040"/>
                <w:sz w:val="15"/>
              </w:rPr>
              <w:t>GAP-17</w:t>
            </w:r>
          </w:p>
        </w:tc>
        <w:tc>
          <w:tcPr>
            <w:tcW w:type="dxa" w:w="2045"/>
            <w:vAlign w:val="top"/>
            <w:shd w:fill="FFFFFF"/>
          </w:tcPr>
          <w:p>
            <w:pPr>
              <w:spacing w:after="0"/>
            </w:pPr>
            <w:r/>
            <w:r>
              <w:rPr>
                <w:rFonts w:ascii="Arial" w:hAnsi="Arial"/>
                <w:b w:val="0"/>
                <w:color w:val="404040"/>
                <w:sz w:val="15"/>
              </w:rPr>
              <w:t>Audit/security governance</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Immutable audit, corrections, security events</w:t>
            </w:r>
          </w:p>
        </w:tc>
        <w:tc>
          <w:tcPr>
            <w:tcW w:type="dxa" w:w="2045"/>
            <w:vAlign w:val="top"/>
            <w:shd w:fill="FFFFFF"/>
          </w:tcPr>
          <w:p>
            <w:pPr>
              <w:spacing w:after="0"/>
            </w:pPr>
            <w:r/>
            <w:r>
              <w:rPr>
                <w:rFonts w:ascii="Arial" w:hAnsi="Arial"/>
                <w:b w:val="0"/>
                <w:color w:val="404040"/>
                <w:sz w:val="15"/>
              </w:rPr>
              <w:t>All</w:t>
            </w:r>
          </w:p>
        </w:tc>
      </w:tr>
      <w:tr>
        <w:tc>
          <w:tcPr>
            <w:tcW w:type="dxa" w:w="2045"/>
            <w:vAlign w:val="top"/>
            <w:shd w:fill="F2F2F2"/>
          </w:tcPr>
          <w:p>
            <w:pPr>
              <w:spacing w:after="0"/>
            </w:pPr>
            <w:r/>
            <w:r>
              <w:rPr>
                <w:rFonts w:ascii="Arial" w:hAnsi="Arial"/>
                <w:b w:val="0"/>
                <w:color w:val="404040"/>
                <w:sz w:val="15"/>
              </w:rPr>
              <w:t>GAP-18</w:t>
            </w:r>
          </w:p>
        </w:tc>
        <w:tc>
          <w:tcPr>
            <w:tcW w:type="dxa" w:w="2045"/>
            <w:vAlign w:val="top"/>
            <w:shd w:fill="F2F2F2"/>
          </w:tcPr>
          <w:p>
            <w:pPr>
              <w:spacing w:after="0"/>
            </w:pPr>
            <w:r/>
            <w:r>
              <w:rPr>
                <w:rFonts w:ascii="Arial" w:hAnsi="Arial"/>
                <w:b w:val="0"/>
                <w:color w:val="404040"/>
                <w:sz w:val="15"/>
              </w:rPr>
              <w:t>Legacy runtime-path removal</w:t>
            </w:r>
          </w:p>
        </w:tc>
        <w:tc>
          <w:tcPr>
            <w:tcW w:type="dxa" w:w="2045"/>
            <w:vAlign w:val="top"/>
            <w:shd w:fill="F2F2F2"/>
          </w:tcPr>
          <w:p>
            <w:pPr>
              <w:spacing w:after="0"/>
            </w:pPr>
            <w:r/>
            <w:r>
              <w:rPr>
                <w:rFonts w:ascii="Arial" w:hAnsi="Arial"/>
                <w:b w:val="0"/>
                <w:color w:val="404040"/>
                <w:sz w:val="15"/>
              </w:rPr>
              <w:t>D/P</w:t>
            </w:r>
          </w:p>
        </w:tc>
        <w:tc>
          <w:tcPr>
            <w:tcW w:type="dxa" w:w="2045"/>
            <w:vAlign w:val="top"/>
            <w:shd w:fill="F2F2F2"/>
          </w:tcPr>
          <w:p>
            <w:pPr>
              <w:spacing w:after="0"/>
            </w:pPr>
            <w:r/>
            <w:r>
              <w:rPr>
                <w:rFonts w:ascii="Arial" w:hAnsi="Arial"/>
                <w:b w:val="0"/>
                <w:color w:val="404040"/>
                <w:sz w:val="15"/>
              </w:rPr>
              <w:t>Remove dead Supabase/mock/demo paths</w:t>
            </w:r>
          </w:p>
        </w:tc>
        <w:tc>
          <w:tcPr>
            <w:tcW w:type="dxa" w:w="2045"/>
            <w:vAlign w:val="top"/>
            <w:shd w:fill="F2F2F2"/>
          </w:tcPr>
          <w:p>
            <w:pPr>
              <w:spacing w:after="0"/>
            </w:pPr>
            <w:r/>
            <w:r>
              <w:rPr>
                <w:rFonts w:ascii="Arial" w:hAnsi="Arial"/>
                <w:b w:val="0"/>
                <w:color w:val="404040"/>
                <w:sz w:val="15"/>
              </w:rPr>
              <w:t>GAP-13,15,19</w:t>
            </w:r>
          </w:p>
        </w:tc>
      </w:tr>
      <w:tr>
        <w:tc>
          <w:tcPr>
            <w:tcW w:type="dxa" w:w="2045"/>
            <w:vAlign w:val="top"/>
            <w:shd w:fill="FFFFFF"/>
          </w:tcPr>
          <w:p>
            <w:pPr>
              <w:spacing w:after="0"/>
            </w:pPr>
            <w:r/>
            <w:r>
              <w:rPr>
                <w:rFonts w:ascii="Arial" w:hAnsi="Arial"/>
                <w:b w:val="0"/>
                <w:color w:val="404040"/>
                <w:sz w:val="15"/>
              </w:rPr>
              <w:t>GAP-19</w:t>
            </w:r>
          </w:p>
        </w:tc>
        <w:tc>
          <w:tcPr>
            <w:tcW w:type="dxa" w:w="2045"/>
            <w:vAlign w:val="top"/>
            <w:shd w:fill="FFFFFF"/>
          </w:tcPr>
          <w:p>
            <w:pPr>
              <w:spacing w:after="0"/>
            </w:pPr>
            <w:r/>
            <w:r>
              <w:rPr>
                <w:rFonts w:ascii="Arial" w:hAnsi="Arial"/>
                <w:b w:val="0"/>
                <w:color w:val="404040"/>
                <w:sz w:val="15"/>
              </w:rPr>
              <w:t>Staging/production/observability/backup</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Env, deploy, logs, backup/restore</w:t>
            </w:r>
          </w:p>
        </w:tc>
        <w:tc>
          <w:tcPr>
            <w:tcW w:type="dxa" w:w="2045"/>
            <w:vAlign w:val="top"/>
            <w:shd w:fill="FFFFFF"/>
          </w:tcPr>
          <w:p>
            <w:pPr>
              <w:spacing w:after="0"/>
            </w:pPr>
            <w:r/>
            <w:r>
              <w:rPr>
                <w:rFonts w:ascii="Arial" w:hAnsi="Arial"/>
                <w:b w:val="0"/>
                <w:color w:val="404040"/>
                <w:sz w:val="15"/>
              </w:rPr>
              <w:t>All</w:t>
            </w:r>
          </w:p>
        </w:tc>
      </w:tr>
      <w:tr>
        <w:tc>
          <w:tcPr>
            <w:tcW w:type="dxa" w:w="2045"/>
            <w:vAlign w:val="top"/>
            <w:shd w:fill="F2F2F2"/>
          </w:tcPr>
          <w:p>
            <w:pPr>
              <w:spacing w:after="0"/>
            </w:pPr>
            <w:r/>
            <w:r>
              <w:rPr>
                <w:rFonts w:ascii="Arial" w:hAnsi="Arial"/>
                <w:b w:val="0"/>
                <w:color w:val="404040"/>
                <w:sz w:val="15"/>
              </w:rPr>
              <w:t>GAP-20</w:t>
            </w:r>
          </w:p>
        </w:tc>
        <w:tc>
          <w:tcPr>
            <w:tcW w:type="dxa" w:w="2045"/>
            <w:vAlign w:val="top"/>
            <w:shd w:fill="F2F2F2"/>
          </w:tcPr>
          <w:p>
            <w:pPr>
              <w:spacing w:after="0"/>
            </w:pPr>
            <w:r/>
            <w:r>
              <w:rPr>
                <w:rFonts w:ascii="Arial" w:hAnsi="Arial"/>
                <w:b w:val="0"/>
                <w:color w:val="404040"/>
                <w:sz w:val="15"/>
              </w:rPr>
              <w:t>Full E2E verification/UAT</w:t>
            </w:r>
          </w:p>
        </w:tc>
        <w:tc>
          <w:tcPr>
            <w:tcW w:type="dxa" w:w="2045"/>
            <w:vAlign w:val="top"/>
            <w:shd w:fill="F2F2F2"/>
          </w:tcPr>
          <w:p>
            <w:pPr>
              <w:spacing w:after="0"/>
            </w:pPr>
            <w:r/>
            <w:r>
              <w:rPr>
                <w:rFonts w:ascii="Arial" w:hAnsi="Arial"/>
                <w:b w:val="0"/>
                <w:color w:val="404040"/>
                <w:sz w:val="15"/>
              </w:rPr>
              <w:t>P</w:t>
            </w:r>
          </w:p>
        </w:tc>
        <w:tc>
          <w:tcPr>
            <w:tcW w:type="dxa" w:w="2045"/>
            <w:vAlign w:val="top"/>
            <w:shd w:fill="F2F2F2"/>
          </w:tcPr>
          <w:p>
            <w:pPr>
              <w:spacing w:after="0"/>
            </w:pPr>
            <w:r/>
            <w:r>
              <w:rPr>
                <w:rFonts w:ascii="Arial" w:hAnsi="Arial"/>
                <w:b w:val="0"/>
                <w:color w:val="404040"/>
                <w:sz w:val="15"/>
              </w:rPr>
              <w:t>Cross-role workflows and release gates</w:t>
            </w:r>
          </w:p>
        </w:tc>
        <w:tc>
          <w:tcPr>
            <w:tcW w:type="dxa" w:w="2045"/>
            <w:vAlign w:val="top"/>
            <w:shd w:fill="F2F2F2"/>
          </w:tcPr>
          <w:p>
            <w:pPr>
              <w:spacing w:after="0"/>
            </w:pPr>
            <w:r/>
            <w:r>
              <w:rPr>
                <w:rFonts w:ascii="Arial" w:hAnsi="Arial"/>
                <w:b w:val="0"/>
                <w:color w:val="404040"/>
                <w:sz w:val="15"/>
              </w:rPr>
              <w:t>All</w:t>
            </w:r>
          </w:p>
        </w:tc>
      </w:tr>
      <w:tr>
        <w:tc>
          <w:tcPr>
            <w:tcW w:type="dxa" w:w="2045"/>
            <w:vAlign w:val="top"/>
            <w:shd w:fill="FFFFFF"/>
          </w:tcPr>
          <w:p>
            <w:pPr>
              <w:spacing w:after="0"/>
            </w:pPr>
            <w:r/>
            <w:r>
              <w:rPr>
                <w:rFonts w:ascii="Arial" w:hAnsi="Arial"/>
                <w:b w:val="0"/>
                <w:color w:val="404040"/>
                <w:sz w:val="15"/>
              </w:rPr>
              <w:t>GAP-21</w:t>
            </w:r>
          </w:p>
        </w:tc>
        <w:tc>
          <w:tcPr>
            <w:tcW w:type="dxa" w:w="2045"/>
            <w:vAlign w:val="top"/>
            <w:shd w:fill="FFFFFF"/>
          </w:tcPr>
          <w:p>
            <w:pPr>
              <w:spacing w:after="0"/>
            </w:pPr>
            <w:r/>
            <w:r>
              <w:rPr>
                <w:rFonts w:ascii="Arial" w:hAnsi="Arial"/>
                <w:b w:val="0"/>
                <w:color w:val="404040"/>
                <w:sz w:val="15"/>
              </w:rPr>
              <w:t>Commercial → PM formal handover</w:t>
            </w:r>
          </w:p>
        </w:tc>
        <w:tc>
          <w:tcPr>
            <w:tcW w:type="dxa" w:w="2045"/>
            <w:vAlign w:val="top"/>
            <w:shd w:fill="FFFFFF"/>
          </w:tcPr>
          <w:p>
            <w:pPr>
              <w:spacing w:after="0"/>
            </w:pPr>
            <w:r/>
            <w:r>
              <w:rPr>
                <w:rFonts w:ascii="Arial" w:hAnsi="Arial"/>
                <w:b w:val="0"/>
                <w:color w:val="404040"/>
                <w:sz w:val="15"/>
              </w:rPr>
              <w:t>P</w:t>
            </w:r>
          </w:p>
        </w:tc>
        <w:tc>
          <w:tcPr>
            <w:tcW w:type="dxa" w:w="2045"/>
            <w:vAlign w:val="top"/>
            <w:shd w:fill="FFFFFF"/>
          </w:tcPr>
          <w:p>
            <w:pPr>
              <w:spacing w:after="0"/>
            </w:pPr>
            <w:r/>
            <w:r>
              <w:rPr>
                <w:rFonts w:ascii="Arial" w:hAnsi="Arial"/>
                <w:b w:val="0"/>
                <w:color w:val="404040"/>
                <w:sz w:val="15"/>
              </w:rPr>
              <w:t>Award handover package and acceptance</w:t>
            </w:r>
          </w:p>
        </w:tc>
        <w:tc>
          <w:tcPr>
            <w:tcW w:type="dxa" w:w="2045"/>
            <w:vAlign w:val="top"/>
            <w:shd w:fill="FFFFFF"/>
          </w:tcPr>
          <w:p>
            <w:pPr>
              <w:spacing w:after="0"/>
            </w:pPr>
            <w:r/>
            <w:r>
              <w:rPr>
                <w:rFonts w:ascii="Arial" w:hAnsi="Arial"/>
                <w:b w:val="0"/>
                <w:color w:val="404040"/>
                <w:sz w:val="15"/>
              </w:rPr>
              <w:t>GAP-03,09,11</w:t>
            </w:r>
          </w:p>
        </w:tc>
      </w:tr>
    </w:tbl>
    <w:p>
      <w:pPr>
        <w:spacing w:after="40"/>
      </w:pPr>
    </w:p>
    <w:p>
      <w:pPr>
        <w:pStyle w:val="Heading1"/>
      </w:pPr>
      <w:r>
        <w:t>4. Target role and permission model</w:t>
      </w:r>
    </w:p>
    <w:tbl>
      <w:tblPr>
        <w:tblStyle w:val="TableGrid"/>
        <w:tblW w:type="auto" w:w="0"/>
        <w:jc w:val="center"/>
        <w:tblLook w:firstColumn="1" w:firstRow="1" w:lastColumn="0" w:lastRow="0" w:noHBand="0" w:noVBand="1" w:val="04A0"/>
      </w:tblPr>
      <w:tblGrid>
        <w:gridCol w:w="10224"/>
      </w:tblGrid>
      <w:tr>
        <w:tc>
          <w:tcPr>
            <w:tcW w:type="dxa" w:w="10224"/>
            <w:shd w:fill="D9EAF7"/>
          </w:tcPr>
          <w:p>
            <w:pPr>
              <w:spacing w:after="40"/>
            </w:pPr>
            <w:r>
              <w:rPr>
                <w:b/>
                <w:color w:val="17365D"/>
                <w:sz w:val="19"/>
              </w:rPr>
              <w:t>Design rule</w:t>
            </w:r>
          </w:p>
          <w:p>
            <w:pPr>
              <w:spacing w:after="0"/>
            </w:pPr>
            <w:r>
              <w:rPr>
                <w:color w:val="404040"/>
                <w:sz w:val="18"/>
              </w:rPr>
              <w:t>Use role + organization + project/site scope + action permission. Role names alone are not enough for a multi-site EPC business. “Team Leader” should not remain an undefined substitute for the formal Foreman role without a documented mapping decision.</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17365D"/>
          </w:tcPr>
          <w:p>
            <w:pPr>
              <w:spacing w:after="0"/>
            </w:pPr>
            <w:r/>
            <w:r>
              <w:rPr>
                <w:rFonts w:ascii="Arial" w:hAnsi="Arial"/>
                <w:b/>
                <w:color w:val="FFFFFF"/>
                <w:sz w:val="14"/>
              </w:rPr>
              <w:t>Role</w:t>
            </w:r>
          </w:p>
        </w:tc>
        <w:tc>
          <w:tcPr>
            <w:tcW w:type="dxa" w:w="2556"/>
            <w:vAlign w:val="top"/>
            <w:shd w:fill="17365D"/>
          </w:tcPr>
          <w:p>
            <w:pPr>
              <w:spacing w:after="0"/>
            </w:pPr>
            <w:r/>
            <w:r>
              <w:rPr>
                <w:rFonts w:ascii="Arial" w:hAnsi="Arial"/>
                <w:b/>
                <w:color w:val="FFFFFF"/>
                <w:sz w:val="14"/>
              </w:rPr>
              <w:t>Scope</w:t>
            </w:r>
          </w:p>
        </w:tc>
        <w:tc>
          <w:tcPr>
            <w:tcW w:type="dxa" w:w="2556"/>
            <w:vAlign w:val="top"/>
            <w:shd w:fill="17365D"/>
          </w:tcPr>
          <w:p>
            <w:pPr>
              <w:spacing w:after="0"/>
            </w:pPr>
            <w:r/>
            <w:r>
              <w:rPr>
                <w:rFonts w:ascii="Arial" w:hAnsi="Arial"/>
                <w:b/>
                <w:color w:val="FFFFFF"/>
                <w:sz w:val="14"/>
              </w:rPr>
              <w:t>Can do</w:t>
            </w:r>
          </w:p>
        </w:tc>
        <w:tc>
          <w:tcPr>
            <w:tcW w:type="dxa" w:w="2556"/>
            <w:vAlign w:val="top"/>
            <w:shd w:fill="17365D"/>
          </w:tcPr>
          <w:p>
            <w:pPr>
              <w:spacing w:after="0"/>
            </w:pPr>
            <w:r/>
            <w:r>
              <w:rPr>
                <w:rFonts w:ascii="Arial" w:hAnsi="Arial"/>
                <w:b/>
                <w:color w:val="FFFFFF"/>
                <w:sz w:val="14"/>
              </w:rPr>
              <w:t>Boundary</w:t>
            </w:r>
          </w:p>
        </w:tc>
      </w:tr>
      <w:tr>
        <w:tc>
          <w:tcPr>
            <w:tcW w:type="dxa" w:w="2556"/>
            <w:vAlign w:val="top"/>
            <w:shd w:fill="FFFFFF"/>
          </w:tcPr>
          <w:p>
            <w:pPr>
              <w:spacing w:after="0"/>
            </w:pPr>
            <w:r/>
            <w:r>
              <w:rPr>
                <w:rFonts w:ascii="Arial" w:hAnsi="Arial"/>
                <w:b w:val="0"/>
                <w:color w:val="404040"/>
                <w:sz w:val="14"/>
              </w:rPr>
              <w:t>Managing Director</w:t>
            </w:r>
          </w:p>
        </w:tc>
        <w:tc>
          <w:tcPr>
            <w:tcW w:type="dxa" w:w="2556"/>
            <w:vAlign w:val="top"/>
            <w:shd w:fill="FFFFFF"/>
          </w:tcPr>
          <w:p>
            <w:pPr>
              <w:spacing w:after="0"/>
            </w:pPr>
            <w:r/>
            <w:r>
              <w:rPr>
                <w:rFonts w:ascii="Arial" w:hAnsi="Arial"/>
                <w:b w:val="0"/>
                <w:color w:val="404040"/>
                <w:sz w:val="14"/>
              </w:rPr>
              <w:t>Company</w:t>
            </w:r>
          </w:p>
        </w:tc>
        <w:tc>
          <w:tcPr>
            <w:tcW w:type="dxa" w:w="2556"/>
            <w:vAlign w:val="top"/>
            <w:shd w:fill="FFFFFF"/>
          </w:tcPr>
          <w:p>
            <w:pPr>
              <w:spacing w:after="0"/>
            </w:pPr>
            <w:r/>
            <w:r>
              <w:rPr>
                <w:rFonts w:ascii="Arial" w:hAnsi="Arial"/>
                <w:b w:val="0"/>
                <w:color w:val="404040"/>
                <w:sz w:val="14"/>
              </w:rPr>
              <w:t>Approve major commitments; view company-wide control tower; direct major escalation</w:t>
            </w:r>
          </w:p>
        </w:tc>
        <w:tc>
          <w:tcPr>
            <w:tcW w:type="dxa" w:w="2556"/>
            <w:vAlign w:val="top"/>
            <w:shd w:fill="FFFFFF"/>
          </w:tcPr>
          <w:p>
            <w:pPr>
              <w:spacing w:after="0"/>
            </w:pPr>
            <w:r/>
            <w:r>
              <w:rPr>
                <w:rFonts w:ascii="Arial" w:hAnsi="Arial"/>
                <w:b w:val="0"/>
                <w:color w:val="404040"/>
                <w:sz w:val="14"/>
              </w:rPr>
              <w:t>Cannot routinely bypass PM/Site Manager chain</w:t>
            </w:r>
          </w:p>
        </w:tc>
      </w:tr>
      <w:tr>
        <w:tc>
          <w:tcPr>
            <w:tcW w:type="dxa" w:w="2556"/>
            <w:vAlign w:val="top"/>
            <w:shd w:fill="F2F2F2"/>
          </w:tcPr>
          <w:p>
            <w:pPr>
              <w:spacing w:after="0"/>
            </w:pPr>
            <w:r/>
            <w:r>
              <w:rPr>
                <w:rFonts w:ascii="Arial" w:hAnsi="Arial"/>
                <w:b w:val="0"/>
                <w:color w:val="404040"/>
                <w:sz w:val="14"/>
              </w:rPr>
              <w:t>Commercial</w:t>
            </w:r>
          </w:p>
        </w:tc>
        <w:tc>
          <w:tcPr>
            <w:tcW w:type="dxa" w:w="2556"/>
            <w:vAlign w:val="top"/>
            <w:shd w:fill="F2F2F2"/>
          </w:tcPr>
          <w:p>
            <w:pPr>
              <w:spacing w:after="0"/>
            </w:pPr>
            <w:r/>
            <w:r>
              <w:rPr>
                <w:rFonts w:ascii="Arial" w:hAnsi="Arial"/>
                <w:b w:val="0"/>
                <w:color w:val="404040"/>
                <w:sz w:val="14"/>
              </w:rPr>
              <w:t>Company / opportunity</w:t>
            </w:r>
          </w:p>
        </w:tc>
        <w:tc>
          <w:tcPr>
            <w:tcW w:type="dxa" w:w="2556"/>
            <w:vAlign w:val="top"/>
            <w:shd w:fill="F2F2F2"/>
          </w:tcPr>
          <w:p>
            <w:pPr>
              <w:spacing w:after="0"/>
            </w:pPr>
            <w:r/>
            <w:r>
              <w:rPr>
                <w:rFonts w:ascii="Arial" w:hAnsi="Arial"/>
                <w:b w:val="0"/>
                <w:color w:val="404040"/>
                <w:sz w:val="14"/>
              </w:rPr>
              <w:t>Opportunity, client/account, tender and handover preparation</w:t>
            </w:r>
          </w:p>
        </w:tc>
        <w:tc>
          <w:tcPr>
            <w:tcW w:type="dxa" w:w="2556"/>
            <w:vAlign w:val="top"/>
            <w:shd w:fill="F2F2F2"/>
          </w:tcPr>
          <w:p>
            <w:pPr>
              <w:spacing w:after="0"/>
            </w:pPr>
            <w:r/>
            <w:r>
              <w:rPr>
                <w:rFonts w:ascii="Arial" w:hAnsi="Arial"/>
                <w:b w:val="0"/>
                <w:color w:val="404040"/>
                <w:sz w:val="14"/>
              </w:rPr>
              <w:t>Does not own post-award execution</w:t>
            </w:r>
          </w:p>
        </w:tc>
      </w:tr>
      <w:tr>
        <w:tc>
          <w:tcPr>
            <w:tcW w:type="dxa" w:w="2556"/>
            <w:vAlign w:val="top"/>
            <w:shd w:fill="FFFFFF"/>
          </w:tcPr>
          <w:p>
            <w:pPr>
              <w:spacing w:after="0"/>
            </w:pPr>
            <w:r/>
            <w:r>
              <w:rPr>
                <w:rFonts w:ascii="Arial" w:hAnsi="Arial"/>
                <w:b w:val="0"/>
                <w:color w:val="404040"/>
                <w:sz w:val="14"/>
              </w:rPr>
              <w:t>Technical Director</w:t>
            </w:r>
          </w:p>
        </w:tc>
        <w:tc>
          <w:tcPr>
            <w:tcW w:type="dxa" w:w="2556"/>
            <w:vAlign w:val="top"/>
            <w:shd w:fill="FFFFFF"/>
          </w:tcPr>
          <w:p>
            <w:pPr>
              <w:spacing w:after="0"/>
            </w:pPr>
            <w:r/>
            <w:r>
              <w:rPr>
                <w:rFonts w:ascii="Arial" w:hAnsi="Arial"/>
                <w:b w:val="0"/>
                <w:color w:val="404040"/>
                <w:sz w:val="14"/>
              </w:rPr>
              <w:t>Portfolio</w:t>
            </w:r>
          </w:p>
        </w:tc>
        <w:tc>
          <w:tcPr>
            <w:tcW w:type="dxa" w:w="2556"/>
            <w:vAlign w:val="top"/>
            <w:shd w:fill="FFFFFF"/>
          </w:tcPr>
          <w:p>
            <w:pPr>
              <w:spacing w:after="0"/>
            </w:pPr>
            <w:r/>
            <w:r>
              <w:rPr>
                <w:rFonts w:ascii="Arial" w:hAnsi="Arial"/>
                <w:b w:val="0"/>
                <w:color w:val="404040"/>
                <w:sz w:val="14"/>
              </w:rPr>
              <w:t>Technical governance, escalations, standards, portfolio review</w:t>
            </w:r>
          </w:p>
        </w:tc>
        <w:tc>
          <w:tcPr>
            <w:tcW w:type="dxa" w:w="2556"/>
            <w:vAlign w:val="top"/>
            <w:shd w:fill="FFFFFF"/>
          </w:tcPr>
          <w:p>
            <w:pPr>
              <w:spacing w:after="0"/>
            </w:pPr>
            <w:r/>
            <w:r>
              <w:rPr>
                <w:rFonts w:ascii="Arial" w:hAnsi="Arial"/>
                <w:b w:val="0"/>
                <w:color w:val="404040"/>
                <w:sz w:val="14"/>
              </w:rPr>
              <w:t>Does not routinely assign site tasks</w:t>
            </w:r>
          </w:p>
        </w:tc>
      </w:tr>
      <w:tr>
        <w:tc>
          <w:tcPr>
            <w:tcW w:type="dxa" w:w="2556"/>
            <w:vAlign w:val="top"/>
            <w:shd w:fill="F2F2F2"/>
          </w:tcPr>
          <w:p>
            <w:pPr>
              <w:spacing w:after="0"/>
            </w:pPr>
            <w:r/>
            <w:r>
              <w:rPr>
                <w:rFonts w:ascii="Arial" w:hAnsi="Arial"/>
                <w:b w:val="0"/>
                <w:color w:val="404040"/>
                <w:sz w:val="14"/>
              </w:rPr>
              <w:t>Project Manager</w:t>
            </w:r>
          </w:p>
        </w:tc>
        <w:tc>
          <w:tcPr>
            <w:tcW w:type="dxa" w:w="2556"/>
            <w:vAlign w:val="top"/>
            <w:shd w:fill="F2F2F2"/>
          </w:tcPr>
          <w:p>
            <w:pPr>
              <w:spacing w:after="0"/>
            </w:pPr>
            <w:r/>
            <w:r>
              <w:rPr>
                <w:rFonts w:ascii="Arial" w:hAnsi="Arial"/>
                <w:b w:val="0"/>
                <w:color w:val="404040"/>
                <w:sz w:val="14"/>
              </w:rPr>
              <w:t>Project</w:t>
            </w:r>
          </w:p>
        </w:tc>
        <w:tc>
          <w:tcPr>
            <w:tcW w:type="dxa" w:w="2556"/>
            <w:vAlign w:val="top"/>
            <w:shd w:fill="F2F2F2"/>
          </w:tcPr>
          <w:p>
            <w:pPr>
              <w:spacing w:after="0"/>
            </w:pPr>
            <w:r/>
            <w:r>
              <w:rPr>
                <w:rFonts w:ascii="Arial" w:hAnsi="Arial"/>
                <w:b w:val="0"/>
                <w:color w:val="404040"/>
                <w:sz w:val="14"/>
              </w:rPr>
              <w:t>Own project schedule, budget, client, risks, procurement requirements, handover</w:t>
            </w:r>
          </w:p>
        </w:tc>
        <w:tc>
          <w:tcPr>
            <w:tcW w:type="dxa" w:w="2556"/>
            <w:vAlign w:val="top"/>
            <w:shd w:fill="F2F2F2"/>
          </w:tcPr>
          <w:p>
            <w:pPr>
              <w:spacing w:after="0"/>
            </w:pPr>
            <w:r/>
            <w:r>
              <w:rPr>
                <w:rFonts w:ascii="Arial" w:hAnsi="Arial"/>
                <w:b w:val="0"/>
                <w:color w:val="404040"/>
                <w:sz w:val="14"/>
              </w:rPr>
              <w:t>Does not directly allocate individual worker tasks</w:t>
            </w:r>
          </w:p>
        </w:tc>
      </w:tr>
      <w:tr>
        <w:tc>
          <w:tcPr>
            <w:tcW w:type="dxa" w:w="2556"/>
            <w:vAlign w:val="top"/>
            <w:shd w:fill="FFFFFF"/>
          </w:tcPr>
          <w:p>
            <w:pPr>
              <w:spacing w:after="0"/>
            </w:pPr>
            <w:r/>
            <w:r>
              <w:rPr>
                <w:rFonts w:ascii="Arial" w:hAnsi="Arial"/>
                <w:b w:val="0"/>
                <w:color w:val="404040"/>
                <w:sz w:val="14"/>
              </w:rPr>
              <w:t>Site Manager</w:t>
            </w:r>
          </w:p>
        </w:tc>
        <w:tc>
          <w:tcPr>
            <w:tcW w:type="dxa" w:w="2556"/>
            <w:vAlign w:val="top"/>
            <w:shd w:fill="FFFFFF"/>
          </w:tcPr>
          <w:p>
            <w:pPr>
              <w:spacing w:after="0"/>
            </w:pPr>
            <w:r/>
            <w:r>
              <w:rPr>
                <w:rFonts w:ascii="Arial" w:hAnsi="Arial"/>
                <w:b w:val="0"/>
                <w:color w:val="404040"/>
                <w:sz w:val="14"/>
              </w:rPr>
              <w:t>Site / execution scope</w:t>
            </w:r>
          </w:p>
        </w:tc>
        <w:tc>
          <w:tcPr>
            <w:tcW w:type="dxa" w:w="2556"/>
            <w:vAlign w:val="top"/>
            <w:shd w:fill="FFFFFF"/>
          </w:tcPr>
          <w:p>
            <w:pPr>
              <w:spacing w:after="0"/>
            </w:pPr>
            <w:r/>
            <w:r>
              <w:rPr>
                <w:rFonts w:ascii="Arial" w:hAnsi="Arial"/>
                <w:b w:val="0"/>
                <w:color w:val="404040"/>
                <w:sz w:val="14"/>
              </w:rPr>
              <w:t>Daily site plan, site resources, subcontractors, progress, quality, safety escalation</w:t>
            </w:r>
          </w:p>
        </w:tc>
        <w:tc>
          <w:tcPr>
            <w:tcW w:type="dxa" w:w="2556"/>
            <w:vAlign w:val="top"/>
            <w:shd w:fill="FFFFFF"/>
          </w:tcPr>
          <w:p>
            <w:pPr>
              <w:spacing w:after="0"/>
            </w:pPr>
            <w:r/>
            <w:r>
              <w:rPr>
                <w:rFonts w:ascii="Arial" w:hAnsi="Arial"/>
                <w:b w:val="0"/>
                <w:color w:val="404040"/>
                <w:sz w:val="14"/>
              </w:rPr>
              <w:t>Does not own overall project contract/budget unless delegated</w:t>
            </w:r>
          </w:p>
        </w:tc>
      </w:tr>
      <w:tr>
        <w:tc>
          <w:tcPr>
            <w:tcW w:type="dxa" w:w="2556"/>
            <w:vAlign w:val="top"/>
            <w:shd w:fill="F2F2F2"/>
          </w:tcPr>
          <w:p>
            <w:pPr>
              <w:spacing w:after="0"/>
            </w:pPr>
            <w:r/>
            <w:r>
              <w:rPr>
                <w:rFonts w:ascii="Arial" w:hAnsi="Arial"/>
                <w:b w:val="0"/>
                <w:color w:val="404040"/>
                <w:sz w:val="14"/>
              </w:rPr>
              <w:t>Foreman</w:t>
            </w:r>
          </w:p>
        </w:tc>
        <w:tc>
          <w:tcPr>
            <w:tcW w:type="dxa" w:w="2556"/>
            <w:vAlign w:val="top"/>
            <w:shd w:fill="F2F2F2"/>
          </w:tcPr>
          <w:p>
            <w:pPr>
              <w:spacing w:after="0"/>
            </w:pPr>
            <w:r/>
            <w:r>
              <w:rPr>
                <w:rFonts w:ascii="Arial" w:hAnsi="Arial"/>
                <w:b w:val="0"/>
                <w:color w:val="404040"/>
                <w:sz w:val="14"/>
              </w:rPr>
              <w:t>Team / site</w:t>
            </w:r>
          </w:p>
        </w:tc>
        <w:tc>
          <w:tcPr>
            <w:tcW w:type="dxa" w:w="2556"/>
            <w:vAlign w:val="top"/>
            <w:shd w:fill="F2F2F2"/>
          </w:tcPr>
          <w:p>
            <w:pPr>
              <w:spacing w:after="0"/>
            </w:pPr>
            <w:r/>
            <w:r>
              <w:rPr>
                <w:rFonts w:ascii="Arial" w:hAnsi="Arial"/>
                <w:b w:val="0"/>
                <w:color w:val="404040"/>
                <w:sz w:val="14"/>
              </w:rPr>
              <w:t>Worker task allocation, productivity, discipline, daily execution</w:t>
            </w:r>
          </w:p>
        </w:tc>
        <w:tc>
          <w:tcPr>
            <w:tcW w:type="dxa" w:w="2556"/>
            <w:vAlign w:val="top"/>
            <w:shd w:fill="F2F2F2"/>
          </w:tcPr>
          <w:p>
            <w:pPr>
              <w:spacing w:after="0"/>
            </w:pPr>
            <w:r/>
            <w:r>
              <w:rPr>
                <w:rFonts w:ascii="Arial" w:hAnsi="Arial"/>
                <w:b w:val="0"/>
                <w:color w:val="404040"/>
                <w:sz w:val="14"/>
              </w:rPr>
              <w:t>Does not own project budget/client relationship</w:t>
            </w:r>
          </w:p>
        </w:tc>
      </w:tr>
      <w:tr>
        <w:tc>
          <w:tcPr>
            <w:tcW w:type="dxa" w:w="2556"/>
            <w:vAlign w:val="top"/>
            <w:shd w:fill="FFFFFF"/>
          </w:tcPr>
          <w:p>
            <w:pPr>
              <w:spacing w:after="0"/>
            </w:pPr>
            <w:r/>
            <w:r>
              <w:rPr>
                <w:rFonts w:ascii="Arial" w:hAnsi="Arial"/>
                <w:b w:val="0"/>
                <w:color w:val="404040"/>
                <w:sz w:val="14"/>
              </w:rPr>
              <w:t>Worker / Technician</w:t>
            </w:r>
          </w:p>
        </w:tc>
        <w:tc>
          <w:tcPr>
            <w:tcW w:type="dxa" w:w="2556"/>
            <w:vAlign w:val="top"/>
            <w:shd w:fill="FFFFFF"/>
          </w:tcPr>
          <w:p>
            <w:pPr>
              <w:spacing w:after="0"/>
            </w:pPr>
            <w:r/>
            <w:r>
              <w:rPr>
                <w:rFonts w:ascii="Arial" w:hAnsi="Arial"/>
                <w:b w:val="0"/>
                <w:color w:val="404040"/>
                <w:sz w:val="14"/>
              </w:rPr>
              <w:t>Assigned site/team</w:t>
            </w:r>
          </w:p>
        </w:tc>
        <w:tc>
          <w:tcPr>
            <w:tcW w:type="dxa" w:w="2556"/>
            <w:vAlign w:val="top"/>
            <w:shd w:fill="FFFFFF"/>
          </w:tcPr>
          <w:p>
            <w:pPr>
              <w:spacing w:after="0"/>
            </w:pPr>
            <w:r/>
            <w:r>
              <w:rPr>
                <w:rFonts w:ascii="Arial" w:hAnsi="Arial"/>
                <w:b w:val="0"/>
                <w:color w:val="404040"/>
                <w:sz w:val="14"/>
              </w:rPr>
              <w:t>Attendance, assigned tasks, evidence, expenses</w:t>
            </w:r>
          </w:p>
        </w:tc>
        <w:tc>
          <w:tcPr>
            <w:tcW w:type="dxa" w:w="2556"/>
            <w:vAlign w:val="top"/>
            <w:shd w:fill="FFFFFF"/>
          </w:tcPr>
          <w:p>
            <w:pPr>
              <w:spacing w:after="0"/>
            </w:pPr>
            <w:r/>
            <w:r>
              <w:rPr>
                <w:rFonts w:ascii="Arial" w:hAnsi="Arial"/>
                <w:b w:val="0"/>
                <w:color w:val="404040"/>
                <w:sz w:val="14"/>
              </w:rPr>
              <w:t>No approval of own expense; no stock adjustment without permission</w:t>
            </w:r>
          </w:p>
        </w:tc>
      </w:tr>
      <w:tr>
        <w:tc>
          <w:tcPr>
            <w:tcW w:type="dxa" w:w="2556"/>
            <w:vAlign w:val="top"/>
            <w:shd w:fill="F2F2F2"/>
          </w:tcPr>
          <w:p>
            <w:pPr>
              <w:spacing w:after="0"/>
            </w:pPr>
            <w:r/>
            <w:r>
              <w:rPr>
                <w:rFonts w:ascii="Arial" w:hAnsi="Arial"/>
                <w:b w:val="0"/>
                <w:color w:val="404040"/>
                <w:sz w:val="14"/>
              </w:rPr>
              <w:t>Site Logistics &amp; Administration</w:t>
            </w:r>
          </w:p>
        </w:tc>
        <w:tc>
          <w:tcPr>
            <w:tcW w:type="dxa" w:w="2556"/>
            <w:vAlign w:val="top"/>
            <w:shd w:fill="F2F2F2"/>
          </w:tcPr>
          <w:p>
            <w:pPr>
              <w:spacing w:after="0"/>
            </w:pPr>
            <w:r/>
            <w:r>
              <w:rPr>
                <w:rFonts w:ascii="Arial" w:hAnsi="Arial"/>
                <w:b w:val="0"/>
                <w:color w:val="404040"/>
                <w:sz w:val="14"/>
              </w:rPr>
              <w:t>Site / logistics</w:t>
            </w:r>
          </w:p>
        </w:tc>
        <w:tc>
          <w:tcPr>
            <w:tcW w:type="dxa" w:w="2556"/>
            <w:vAlign w:val="top"/>
            <w:shd w:fill="F2F2F2"/>
          </w:tcPr>
          <w:p>
            <w:pPr>
              <w:spacing w:after="0"/>
            </w:pPr>
            <w:r/>
            <w:r>
              <w:rPr>
                <w:rFonts w:ascii="Arial" w:hAnsi="Arial"/>
                <w:b w:val="0"/>
                <w:color w:val="404040"/>
                <w:sz w:val="14"/>
              </w:rPr>
              <w:t>Attendance records, deliveries, stock, tools/assets, site records</w:t>
            </w:r>
          </w:p>
        </w:tc>
        <w:tc>
          <w:tcPr>
            <w:tcW w:type="dxa" w:w="2556"/>
            <w:vAlign w:val="top"/>
            <w:shd w:fill="F2F2F2"/>
          </w:tcPr>
          <w:p>
            <w:pPr>
              <w:spacing w:after="0"/>
            </w:pPr>
            <w:r/>
            <w:r>
              <w:rPr>
                <w:rFonts w:ascii="Arial" w:hAnsi="Arial"/>
                <w:b w:val="0"/>
                <w:color w:val="404040"/>
                <w:sz w:val="14"/>
              </w:rPr>
              <w:t>Does not direct technical construction</w:t>
            </w:r>
          </w:p>
        </w:tc>
      </w:tr>
      <w:tr>
        <w:tc>
          <w:tcPr>
            <w:tcW w:type="dxa" w:w="2556"/>
            <w:vAlign w:val="top"/>
            <w:shd w:fill="FFFFFF"/>
          </w:tcPr>
          <w:p>
            <w:pPr>
              <w:spacing w:after="0"/>
            </w:pPr>
            <w:r/>
            <w:r>
              <w:rPr>
                <w:rFonts w:ascii="Arial" w:hAnsi="Arial"/>
                <w:b w:val="0"/>
                <w:color w:val="404040"/>
                <w:sz w:val="14"/>
              </w:rPr>
              <w:t>Finance &amp; Administration</w:t>
            </w:r>
          </w:p>
        </w:tc>
        <w:tc>
          <w:tcPr>
            <w:tcW w:type="dxa" w:w="2556"/>
            <w:vAlign w:val="top"/>
            <w:shd w:fill="FFFFFF"/>
          </w:tcPr>
          <w:p>
            <w:pPr>
              <w:spacing w:after="0"/>
            </w:pPr>
            <w:r/>
            <w:r>
              <w:rPr>
                <w:rFonts w:ascii="Arial" w:hAnsi="Arial"/>
                <w:b w:val="0"/>
                <w:color w:val="404040"/>
                <w:sz w:val="14"/>
              </w:rPr>
              <w:t>Company / finance</w:t>
            </w:r>
          </w:p>
        </w:tc>
        <w:tc>
          <w:tcPr>
            <w:tcW w:type="dxa" w:w="2556"/>
            <w:vAlign w:val="top"/>
            <w:shd w:fill="FFFFFF"/>
          </w:tcPr>
          <w:p>
            <w:pPr>
              <w:spacing w:after="0"/>
            </w:pPr>
            <w:r/>
            <w:r>
              <w:rPr>
                <w:rFonts w:ascii="Arial" w:hAnsi="Arial"/>
                <w:b w:val="0"/>
                <w:color w:val="404040"/>
                <w:sz w:val="14"/>
              </w:rPr>
              <w:t>Financial control, expense/payment approval, HR/admin</w:t>
            </w:r>
          </w:p>
        </w:tc>
        <w:tc>
          <w:tcPr>
            <w:tcW w:type="dxa" w:w="2556"/>
            <w:vAlign w:val="top"/>
            <w:shd w:fill="FFFFFF"/>
          </w:tcPr>
          <w:p>
            <w:pPr>
              <w:spacing w:after="0"/>
            </w:pPr>
            <w:r/>
            <w:r>
              <w:rPr>
                <w:rFonts w:ascii="Arial" w:hAnsi="Arial"/>
                <w:b w:val="0"/>
                <w:color w:val="404040"/>
                <w:sz w:val="14"/>
              </w:rPr>
              <w:t>Does not define technical material requirements</w:t>
            </w:r>
          </w:p>
        </w:tc>
      </w:tr>
      <w:tr>
        <w:tc>
          <w:tcPr>
            <w:tcW w:type="dxa" w:w="2556"/>
            <w:vAlign w:val="top"/>
            <w:shd w:fill="F2F2F2"/>
          </w:tcPr>
          <w:p>
            <w:pPr>
              <w:spacing w:after="0"/>
            </w:pPr>
            <w:r/>
            <w:r>
              <w:rPr>
                <w:rFonts w:ascii="Arial" w:hAnsi="Arial"/>
                <w:b w:val="0"/>
                <w:color w:val="404040"/>
                <w:sz w:val="14"/>
              </w:rPr>
              <w:t>Procurement &amp; Supply</w:t>
            </w:r>
          </w:p>
        </w:tc>
        <w:tc>
          <w:tcPr>
            <w:tcW w:type="dxa" w:w="2556"/>
            <w:vAlign w:val="top"/>
            <w:shd w:fill="F2F2F2"/>
          </w:tcPr>
          <w:p>
            <w:pPr>
              <w:spacing w:after="0"/>
            </w:pPr>
            <w:r/>
            <w:r>
              <w:rPr>
                <w:rFonts w:ascii="Arial" w:hAnsi="Arial"/>
                <w:b w:val="0"/>
                <w:color w:val="404040"/>
                <w:sz w:val="14"/>
              </w:rPr>
              <w:t>Company / procurement</w:t>
            </w:r>
          </w:p>
        </w:tc>
        <w:tc>
          <w:tcPr>
            <w:tcW w:type="dxa" w:w="2556"/>
            <w:vAlign w:val="top"/>
            <w:shd w:fill="F2F2F2"/>
          </w:tcPr>
          <w:p>
            <w:pPr>
              <w:spacing w:after="0"/>
            </w:pPr>
            <w:r/>
            <w:r>
              <w:rPr>
                <w:rFonts w:ascii="Arial" w:hAnsi="Arial"/>
                <w:b w:val="0"/>
                <w:color w:val="404040"/>
                <w:sz w:val="14"/>
              </w:rPr>
              <w:t>Quotes, supplier sourcing, PO, delivery coordination</w:t>
            </w:r>
          </w:p>
        </w:tc>
        <w:tc>
          <w:tcPr>
            <w:tcW w:type="dxa" w:w="2556"/>
            <w:vAlign w:val="top"/>
            <w:shd w:fill="F2F2F2"/>
          </w:tcPr>
          <w:p>
            <w:pPr>
              <w:spacing w:after="0"/>
            </w:pPr>
            <w:r/>
            <w:r>
              <w:rPr>
                <w:rFonts w:ascii="Arial" w:hAnsi="Arial"/>
                <w:b w:val="0"/>
                <w:color w:val="404040"/>
                <w:sz w:val="14"/>
              </w:rPr>
              <w:t>Does not independently define project need</w:t>
            </w:r>
          </w:p>
        </w:tc>
      </w:tr>
      <w:tr>
        <w:tc>
          <w:tcPr>
            <w:tcW w:type="dxa" w:w="2556"/>
            <w:vAlign w:val="top"/>
            <w:shd w:fill="FFFFFF"/>
          </w:tcPr>
          <w:p>
            <w:pPr>
              <w:spacing w:after="0"/>
            </w:pPr>
            <w:r/>
            <w:r>
              <w:rPr>
                <w:rFonts w:ascii="Arial" w:hAnsi="Arial"/>
                <w:b w:val="0"/>
                <w:color w:val="404040"/>
                <w:sz w:val="14"/>
              </w:rPr>
              <w:t>O&amp;M / Maintenance</w:t>
            </w:r>
          </w:p>
        </w:tc>
        <w:tc>
          <w:tcPr>
            <w:tcW w:type="dxa" w:w="2556"/>
            <w:vAlign w:val="top"/>
            <w:shd w:fill="FFFFFF"/>
          </w:tcPr>
          <w:p>
            <w:pPr>
              <w:spacing w:after="0"/>
            </w:pPr>
            <w:r/>
            <w:r>
              <w:rPr>
                <w:rFonts w:ascii="Arial" w:hAnsi="Arial"/>
                <w:b w:val="0"/>
                <w:color w:val="404040"/>
                <w:sz w:val="14"/>
              </w:rPr>
              <w:t>Asset / O&amp;M scope</w:t>
            </w:r>
          </w:p>
        </w:tc>
        <w:tc>
          <w:tcPr>
            <w:tcW w:type="dxa" w:w="2556"/>
            <w:vAlign w:val="top"/>
            <w:shd w:fill="FFFFFF"/>
          </w:tcPr>
          <w:p>
            <w:pPr>
              <w:spacing w:after="0"/>
            </w:pPr>
            <w:r/>
            <w:r>
              <w:rPr>
                <w:rFonts w:ascii="Arial" w:hAnsi="Arial"/>
                <w:b w:val="0"/>
                <w:color w:val="404040"/>
                <w:sz w:val="14"/>
              </w:rPr>
              <w:t>Maintenance after handover, warranty/service</w:t>
            </w:r>
          </w:p>
        </w:tc>
        <w:tc>
          <w:tcPr>
            <w:tcW w:type="dxa" w:w="2556"/>
            <w:vAlign w:val="top"/>
            <w:shd w:fill="FFFFFF"/>
          </w:tcPr>
          <w:p>
            <w:pPr>
              <w:spacing w:after="0"/>
            </w:pPr>
            <w:r/>
            <w:r>
              <w:rPr>
                <w:rFonts w:ascii="Arial" w:hAnsi="Arial"/>
                <w:b w:val="0"/>
                <w:color w:val="404040"/>
                <w:sz w:val="14"/>
              </w:rPr>
              <w:t>Not EPC construction authority</w:t>
            </w:r>
          </w:p>
        </w:tc>
      </w:tr>
      <w:tr>
        <w:tc>
          <w:tcPr>
            <w:tcW w:type="dxa" w:w="2556"/>
            <w:vAlign w:val="top"/>
            <w:shd w:fill="F2F2F2"/>
          </w:tcPr>
          <w:p>
            <w:pPr>
              <w:spacing w:after="0"/>
            </w:pPr>
            <w:r/>
            <w:r>
              <w:rPr>
                <w:rFonts w:ascii="Arial" w:hAnsi="Arial"/>
                <w:b w:val="0"/>
                <w:color w:val="404040"/>
                <w:sz w:val="14"/>
              </w:rPr>
              <w:t>External Specialist</w:t>
            </w:r>
          </w:p>
        </w:tc>
        <w:tc>
          <w:tcPr>
            <w:tcW w:type="dxa" w:w="2556"/>
            <w:vAlign w:val="top"/>
            <w:shd w:fill="F2F2F2"/>
          </w:tcPr>
          <w:p>
            <w:pPr>
              <w:spacing w:after="0"/>
            </w:pPr>
            <w:r/>
            <w:r>
              <w:rPr>
                <w:rFonts w:ascii="Arial" w:hAnsi="Arial"/>
                <w:b w:val="0"/>
                <w:color w:val="404040"/>
                <w:sz w:val="14"/>
              </w:rPr>
              <w:t>Assigned scope</w:t>
            </w:r>
          </w:p>
        </w:tc>
        <w:tc>
          <w:tcPr>
            <w:tcW w:type="dxa" w:w="2556"/>
            <w:vAlign w:val="top"/>
            <w:shd w:fill="F2F2F2"/>
          </w:tcPr>
          <w:p>
            <w:pPr>
              <w:spacing w:after="0"/>
            </w:pPr>
            <w:r/>
            <w:r>
              <w:rPr>
                <w:rFonts w:ascii="Arial" w:hAnsi="Arial"/>
                <w:b w:val="0"/>
                <w:color w:val="404040"/>
                <w:sz w:val="14"/>
              </w:rPr>
              <w:t>Only contractually assigned scope; named internal owner required</w:t>
            </w:r>
          </w:p>
        </w:tc>
        <w:tc>
          <w:tcPr>
            <w:tcW w:type="dxa" w:w="2556"/>
            <w:vAlign w:val="top"/>
            <w:shd w:fill="F2F2F2"/>
          </w:tcPr>
          <w:p>
            <w:pPr>
              <w:spacing w:after="0"/>
            </w:pPr>
            <w:r/>
            <w:r>
              <w:rPr>
                <w:rFonts w:ascii="Arial" w:hAnsi="Arial"/>
                <w:b w:val="0"/>
                <w:color w:val="404040"/>
                <w:sz w:val="14"/>
              </w:rPr>
              <w:t>No parallel management hierarchy</w:t>
            </w:r>
          </w:p>
        </w:tc>
      </w:tr>
    </w:tbl>
    <w:p>
      <w:pPr>
        <w:spacing w:after="40"/>
      </w:pP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17365D"/>
          </w:tcPr>
          <w:p>
            <w:pPr>
              <w:spacing w:after="0"/>
            </w:pPr>
            <w:r/>
            <w:r>
              <w:rPr>
                <w:rFonts w:ascii="Arial" w:hAnsi="Arial"/>
                <w:b/>
                <w:color w:val="FFFFFF"/>
                <w:sz w:val="14"/>
              </w:rPr>
              <w:t>Action</w:t>
            </w:r>
          </w:p>
        </w:tc>
        <w:tc>
          <w:tcPr>
            <w:tcW w:type="dxa" w:w="2556"/>
            <w:vAlign w:val="top"/>
            <w:shd w:fill="17365D"/>
          </w:tcPr>
          <w:p>
            <w:pPr>
              <w:spacing w:after="0"/>
            </w:pPr>
            <w:r/>
            <w:r>
              <w:rPr>
                <w:rFonts w:ascii="Arial" w:hAnsi="Arial"/>
                <w:b/>
                <w:color w:val="FFFFFF"/>
                <w:sz w:val="14"/>
              </w:rPr>
              <w:t>Primary authority</w:t>
            </w:r>
          </w:p>
        </w:tc>
        <w:tc>
          <w:tcPr>
            <w:tcW w:type="dxa" w:w="2556"/>
            <w:vAlign w:val="top"/>
            <w:shd w:fill="17365D"/>
          </w:tcPr>
          <w:p>
            <w:pPr>
              <w:spacing w:after="0"/>
            </w:pPr>
            <w:r/>
            <w:r>
              <w:rPr>
                <w:rFonts w:ascii="Arial" w:hAnsi="Arial"/>
                <w:b/>
                <w:color w:val="FFFFFF"/>
                <w:sz w:val="14"/>
              </w:rPr>
              <w:t>Limited/secondary</w:t>
            </w:r>
          </w:p>
        </w:tc>
        <w:tc>
          <w:tcPr>
            <w:tcW w:type="dxa" w:w="2556"/>
            <w:vAlign w:val="top"/>
            <w:shd w:fill="17365D"/>
          </w:tcPr>
          <w:p>
            <w:pPr>
              <w:spacing w:after="0"/>
            </w:pPr>
            <w:r/>
            <w:r>
              <w:rPr>
                <w:rFonts w:ascii="Arial" w:hAnsi="Arial"/>
                <w:b/>
                <w:color w:val="FFFFFF"/>
                <w:sz w:val="14"/>
              </w:rPr>
              <w:t>Restriction</w:t>
            </w:r>
          </w:p>
        </w:tc>
      </w:tr>
      <w:tr>
        <w:tc>
          <w:tcPr>
            <w:tcW w:type="dxa" w:w="2556"/>
            <w:vAlign w:val="top"/>
            <w:shd w:fill="FFFFFF"/>
          </w:tcPr>
          <w:p>
            <w:pPr>
              <w:spacing w:after="0"/>
            </w:pPr>
            <w:r/>
            <w:r>
              <w:rPr>
                <w:rFonts w:ascii="Arial" w:hAnsi="Arial"/>
                <w:b w:val="0"/>
                <w:color w:val="404040"/>
                <w:sz w:val="14"/>
              </w:rPr>
              <w:t>View project</w:t>
            </w:r>
          </w:p>
        </w:tc>
        <w:tc>
          <w:tcPr>
            <w:tcW w:type="dxa" w:w="2556"/>
            <w:vAlign w:val="top"/>
            <w:shd w:fill="FFFFFF"/>
          </w:tcPr>
          <w:p>
            <w:pPr>
              <w:spacing w:after="0"/>
            </w:pPr>
            <w:r/>
            <w:r>
              <w:rPr>
                <w:rFonts w:ascii="Arial" w:hAnsi="Arial"/>
                <w:b w:val="0"/>
                <w:color w:val="404040"/>
                <w:sz w:val="14"/>
              </w:rPr>
              <w:t>Admin/MD/TD/PM/SM</w:t>
            </w:r>
          </w:p>
        </w:tc>
        <w:tc>
          <w:tcPr>
            <w:tcW w:type="dxa" w:w="2556"/>
            <w:vAlign w:val="top"/>
            <w:shd w:fill="FFFFFF"/>
          </w:tcPr>
          <w:p>
            <w:pPr>
              <w:spacing w:after="0"/>
            </w:pPr>
            <w:r/>
            <w:r>
              <w:rPr>
                <w:rFonts w:ascii="Arial" w:hAnsi="Arial"/>
                <w:b w:val="0"/>
                <w:color w:val="404040"/>
                <w:sz w:val="14"/>
              </w:rPr>
              <w:t>Foreman/Logistics within scope</w:t>
            </w:r>
          </w:p>
        </w:tc>
        <w:tc>
          <w:tcPr>
            <w:tcW w:type="dxa" w:w="2556"/>
            <w:vAlign w:val="top"/>
            <w:shd w:fill="FFFFFF"/>
          </w:tcPr>
          <w:p>
            <w:pPr>
              <w:spacing w:after="0"/>
            </w:pPr>
            <w:r/>
            <w:r>
              <w:rPr>
                <w:rFonts w:ascii="Arial" w:hAnsi="Arial"/>
                <w:b w:val="0"/>
                <w:color w:val="404040"/>
                <w:sz w:val="14"/>
              </w:rPr>
              <w:t>Assigned workers only</w:t>
            </w:r>
          </w:p>
        </w:tc>
      </w:tr>
      <w:tr>
        <w:tc>
          <w:tcPr>
            <w:tcW w:type="dxa" w:w="2556"/>
            <w:vAlign w:val="top"/>
            <w:shd w:fill="F2F2F2"/>
          </w:tcPr>
          <w:p>
            <w:pPr>
              <w:spacing w:after="0"/>
            </w:pPr>
            <w:r/>
            <w:r>
              <w:rPr>
                <w:rFonts w:ascii="Arial" w:hAnsi="Arial"/>
                <w:b w:val="0"/>
                <w:color w:val="404040"/>
                <w:sz w:val="14"/>
              </w:rPr>
              <w:t>Create daily plan</w:t>
            </w:r>
          </w:p>
        </w:tc>
        <w:tc>
          <w:tcPr>
            <w:tcW w:type="dxa" w:w="2556"/>
            <w:vAlign w:val="top"/>
            <w:shd w:fill="F2F2F2"/>
          </w:tcPr>
          <w:p>
            <w:pPr>
              <w:spacing w:after="0"/>
            </w:pPr>
            <w:r/>
            <w:r>
              <w:rPr>
                <w:rFonts w:ascii="Arial" w:hAnsi="Arial"/>
                <w:b w:val="0"/>
                <w:color w:val="404040"/>
                <w:sz w:val="14"/>
              </w:rPr>
              <w:t>PM/SM</w:t>
            </w:r>
          </w:p>
        </w:tc>
        <w:tc>
          <w:tcPr>
            <w:tcW w:type="dxa" w:w="2556"/>
            <w:vAlign w:val="top"/>
            <w:shd w:fill="F2F2F2"/>
          </w:tcPr>
          <w:p>
            <w:pPr>
              <w:spacing w:after="0"/>
            </w:pPr>
            <w:r/>
            <w:r>
              <w:rPr>
                <w:rFonts w:ascii="Arial" w:hAnsi="Arial"/>
                <w:b w:val="0"/>
                <w:color w:val="404040"/>
                <w:sz w:val="14"/>
              </w:rPr>
              <w:t>Foreman can propose/adjust team tasks</w:t>
            </w:r>
          </w:p>
        </w:tc>
        <w:tc>
          <w:tcPr>
            <w:tcW w:type="dxa" w:w="2556"/>
            <w:vAlign w:val="top"/>
            <w:shd w:fill="F2F2F2"/>
          </w:tcPr>
          <w:p>
            <w:pPr>
              <w:spacing w:after="0"/>
            </w:pPr>
            <w:r/>
            <w:r>
              <w:rPr>
                <w:rFonts w:ascii="Arial" w:hAnsi="Arial"/>
                <w:b w:val="0"/>
                <w:color w:val="404040"/>
                <w:sz w:val="14"/>
              </w:rPr>
              <w:t>Workers cannot</w:t>
            </w:r>
          </w:p>
        </w:tc>
      </w:tr>
      <w:tr>
        <w:tc>
          <w:tcPr>
            <w:tcW w:type="dxa" w:w="2556"/>
            <w:vAlign w:val="top"/>
            <w:shd w:fill="FFFFFF"/>
          </w:tcPr>
          <w:p>
            <w:pPr>
              <w:spacing w:after="0"/>
            </w:pPr>
            <w:r/>
            <w:r>
              <w:rPr>
                <w:rFonts w:ascii="Arial" w:hAnsi="Arial"/>
                <w:b w:val="0"/>
                <w:color w:val="404040"/>
                <w:sz w:val="14"/>
              </w:rPr>
              <w:t>Assign worker tasks</w:t>
            </w:r>
          </w:p>
        </w:tc>
        <w:tc>
          <w:tcPr>
            <w:tcW w:type="dxa" w:w="2556"/>
            <w:vAlign w:val="top"/>
            <w:shd w:fill="FFFFFF"/>
          </w:tcPr>
          <w:p>
            <w:pPr>
              <w:spacing w:after="0"/>
            </w:pPr>
            <w:r/>
            <w:r>
              <w:rPr>
                <w:rFonts w:ascii="Arial" w:hAnsi="Arial"/>
                <w:b w:val="0"/>
                <w:color w:val="404040"/>
                <w:sz w:val="14"/>
              </w:rPr>
              <w:t>SM/Foreman</w:t>
            </w:r>
          </w:p>
        </w:tc>
        <w:tc>
          <w:tcPr>
            <w:tcW w:type="dxa" w:w="2556"/>
            <w:vAlign w:val="top"/>
            <w:shd w:fill="FFFFFF"/>
          </w:tcPr>
          <w:p>
            <w:pPr>
              <w:spacing w:after="0"/>
            </w:pPr>
            <w:r/>
            <w:r>
              <w:rPr>
                <w:rFonts w:ascii="Arial" w:hAnsi="Arial"/>
                <w:b w:val="0"/>
                <w:color w:val="404040"/>
                <w:sz w:val="14"/>
              </w:rPr>
              <w:t>PM views</w:t>
            </w:r>
          </w:p>
        </w:tc>
        <w:tc>
          <w:tcPr>
            <w:tcW w:type="dxa" w:w="2556"/>
            <w:vAlign w:val="top"/>
            <w:shd w:fill="FFFFFF"/>
          </w:tcPr>
          <w:p>
            <w:pPr>
              <w:spacing w:after="0"/>
            </w:pPr>
            <w:r/>
            <w:r>
              <w:rPr>
                <w:rFonts w:ascii="Arial" w:hAnsi="Arial"/>
                <w:b w:val="0"/>
                <w:color w:val="404040"/>
                <w:sz w:val="14"/>
              </w:rPr>
              <w:t>Workers only self-update permitted fields</w:t>
            </w:r>
          </w:p>
        </w:tc>
      </w:tr>
      <w:tr>
        <w:tc>
          <w:tcPr>
            <w:tcW w:type="dxa" w:w="2556"/>
            <w:vAlign w:val="top"/>
            <w:shd w:fill="F2F2F2"/>
          </w:tcPr>
          <w:p>
            <w:pPr>
              <w:spacing w:after="0"/>
            </w:pPr>
            <w:r/>
            <w:r>
              <w:rPr>
                <w:rFonts w:ascii="Arial" w:hAnsi="Arial"/>
                <w:b w:val="0"/>
                <w:color w:val="404040"/>
                <w:sz w:val="14"/>
              </w:rPr>
              <w:t>Correct attendance</w:t>
            </w:r>
          </w:p>
        </w:tc>
        <w:tc>
          <w:tcPr>
            <w:tcW w:type="dxa" w:w="2556"/>
            <w:vAlign w:val="top"/>
            <w:shd w:fill="F2F2F2"/>
          </w:tcPr>
          <w:p>
            <w:pPr>
              <w:spacing w:after="0"/>
            </w:pPr>
            <w:r/>
            <w:r>
              <w:rPr>
                <w:rFonts w:ascii="Arial" w:hAnsi="Arial"/>
                <w:b w:val="0"/>
                <w:color w:val="404040"/>
                <w:sz w:val="14"/>
              </w:rPr>
              <w:t>Logistics/SM (policy-limited)</w:t>
            </w:r>
          </w:p>
        </w:tc>
        <w:tc>
          <w:tcPr>
            <w:tcW w:type="dxa" w:w="2556"/>
            <w:vAlign w:val="top"/>
            <w:shd w:fill="F2F2F2"/>
          </w:tcPr>
          <w:p>
            <w:pPr>
              <w:spacing w:after="0"/>
            </w:pPr>
            <w:r/>
            <w:r>
              <w:rPr>
                <w:rFonts w:ascii="Arial" w:hAnsi="Arial"/>
                <w:b w:val="0"/>
                <w:color w:val="404040"/>
                <w:sz w:val="14"/>
              </w:rPr>
              <w:t>PM/Manager view</w:t>
            </w:r>
          </w:p>
        </w:tc>
        <w:tc>
          <w:tcPr>
            <w:tcW w:type="dxa" w:w="2556"/>
            <w:vAlign w:val="top"/>
            <w:shd w:fill="F2F2F2"/>
          </w:tcPr>
          <w:p>
            <w:pPr>
              <w:spacing w:after="0"/>
            </w:pPr>
            <w:r/>
            <w:r>
              <w:rPr>
                <w:rFonts w:ascii="Arial" w:hAnsi="Arial"/>
                <w:b w:val="0"/>
                <w:color w:val="404040"/>
                <w:sz w:val="14"/>
              </w:rPr>
              <w:t>Worker request only</w:t>
            </w:r>
          </w:p>
        </w:tc>
      </w:tr>
      <w:tr>
        <w:tc>
          <w:tcPr>
            <w:tcW w:type="dxa" w:w="2556"/>
            <w:vAlign w:val="top"/>
            <w:shd w:fill="FFFFFF"/>
          </w:tcPr>
          <w:p>
            <w:pPr>
              <w:spacing w:after="0"/>
            </w:pPr>
            <w:r/>
            <w:r>
              <w:rPr>
                <w:rFonts w:ascii="Arial" w:hAnsi="Arial"/>
                <w:b w:val="0"/>
                <w:color w:val="404040"/>
                <w:sz w:val="14"/>
              </w:rPr>
              <w:t>Submit expense</w:t>
            </w:r>
          </w:p>
        </w:tc>
        <w:tc>
          <w:tcPr>
            <w:tcW w:type="dxa" w:w="2556"/>
            <w:vAlign w:val="top"/>
            <w:shd w:fill="FFFFFF"/>
          </w:tcPr>
          <w:p>
            <w:pPr>
              <w:spacing w:after="0"/>
            </w:pPr>
            <w:r/>
            <w:r>
              <w:rPr>
                <w:rFonts w:ascii="Arial" w:hAnsi="Arial"/>
                <w:b w:val="0"/>
                <w:color w:val="404040"/>
                <w:sz w:val="14"/>
              </w:rPr>
              <w:t>Worker/eligible user</w:t>
            </w:r>
          </w:p>
        </w:tc>
        <w:tc>
          <w:tcPr>
            <w:tcW w:type="dxa" w:w="2556"/>
            <w:vAlign w:val="top"/>
            <w:shd w:fill="FFFFFF"/>
          </w:tcPr>
          <w:p>
            <w:pPr>
              <w:spacing w:after="0"/>
            </w:pPr>
            <w:r/>
            <w:r>
              <w:rPr>
                <w:rFonts w:ascii="Arial" w:hAnsi="Arial"/>
                <w:b w:val="0"/>
                <w:color w:val="404040"/>
                <w:sz w:val="14"/>
              </w:rPr>
              <w:t>Foreman/SM view</w:t>
            </w:r>
          </w:p>
        </w:tc>
        <w:tc>
          <w:tcPr>
            <w:tcW w:type="dxa" w:w="2556"/>
            <w:vAlign w:val="top"/>
            <w:shd w:fill="FFFFFF"/>
          </w:tcPr>
          <w:p>
            <w:pPr>
              <w:spacing w:after="0"/>
            </w:pPr>
            <w:r/>
            <w:r>
              <w:rPr>
                <w:rFonts w:ascii="Arial" w:hAnsi="Arial"/>
                <w:b w:val="0"/>
                <w:color w:val="404040"/>
                <w:sz w:val="14"/>
              </w:rPr>
              <w:t>No self-approval</w:t>
            </w:r>
          </w:p>
        </w:tc>
      </w:tr>
      <w:tr>
        <w:tc>
          <w:tcPr>
            <w:tcW w:type="dxa" w:w="2556"/>
            <w:vAlign w:val="top"/>
            <w:shd w:fill="F2F2F2"/>
          </w:tcPr>
          <w:p>
            <w:pPr>
              <w:spacing w:after="0"/>
            </w:pPr>
            <w:r/>
            <w:r>
              <w:rPr>
                <w:rFonts w:ascii="Arial" w:hAnsi="Arial"/>
                <w:b w:val="0"/>
                <w:color w:val="404040"/>
                <w:sz w:val="14"/>
              </w:rPr>
              <w:t>Approve expense</w:t>
            </w:r>
          </w:p>
        </w:tc>
        <w:tc>
          <w:tcPr>
            <w:tcW w:type="dxa" w:w="2556"/>
            <w:vAlign w:val="top"/>
            <w:shd w:fill="F2F2F2"/>
          </w:tcPr>
          <w:p>
            <w:pPr>
              <w:spacing w:after="0"/>
            </w:pPr>
            <w:r/>
            <w:r>
              <w:rPr>
                <w:rFonts w:ascii="Arial" w:hAnsi="Arial"/>
                <w:b w:val="0"/>
                <w:color w:val="404040"/>
                <w:sz w:val="14"/>
              </w:rPr>
              <w:t>Manager/Finance per matrix</w:t>
            </w:r>
          </w:p>
        </w:tc>
        <w:tc>
          <w:tcPr>
            <w:tcW w:type="dxa" w:w="2556"/>
            <w:vAlign w:val="top"/>
            <w:shd w:fill="F2F2F2"/>
          </w:tcPr>
          <w:p>
            <w:pPr>
              <w:spacing w:after="0"/>
            </w:pPr>
            <w:r/>
            <w:r>
              <w:rPr>
                <w:rFonts w:ascii="Arial" w:hAnsi="Arial"/>
                <w:b w:val="0"/>
                <w:color w:val="404040"/>
                <w:sz w:val="14"/>
              </w:rPr>
              <w:t>PM/SM may recommend if policy allows</w:t>
            </w:r>
          </w:p>
        </w:tc>
        <w:tc>
          <w:tcPr>
            <w:tcW w:type="dxa" w:w="2556"/>
            <w:vAlign w:val="top"/>
            <w:shd w:fill="F2F2F2"/>
          </w:tcPr>
          <w:p>
            <w:pPr>
              <w:spacing w:after="0"/>
            </w:pPr>
            <w:r/>
            <w:r>
              <w:rPr>
                <w:rFonts w:ascii="Arial" w:hAnsi="Arial"/>
                <w:b w:val="0"/>
                <w:color w:val="404040"/>
                <w:sz w:val="14"/>
              </w:rPr>
              <w:t>Submitter never approves own expense</w:t>
            </w:r>
          </w:p>
        </w:tc>
      </w:tr>
      <w:tr>
        <w:tc>
          <w:tcPr>
            <w:tcW w:type="dxa" w:w="2556"/>
            <w:vAlign w:val="top"/>
            <w:shd w:fill="FFFFFF"/>
          </w:tcPr>
          <w:p>
            <w:pPr>
              <w:spacing w:after="0"/>
            </w:pPr>
            <w:r/>
            <w:r>
              <w:rPr>
                <w:rFonts w:ascii="Arial" w:hAnsi="Arial"/>
                <w:b w:val="0"/>
                <w:color w:val="404040"/>
                <w:sz w:val="14"/>
              </w:rPr>
              <w:t>Create material request</w:t>
            </w:r>
          </w:p>
        </w:tc>
        <w:tc>
          <w:tcPr>
            <w:tcW w:type="dxa" w:w="2556"/>
            <w:vAlign w:val="top"/>
            <w:shd w:fill="FFFFFF"/>
          </w:tcPr>
          <w:p>
            <w:pPr>
              <w:spacing w:after="0"/>
            </w:pPr>
            <w:r/>
            <w:r>
              <w:rPr>
                <w:rFonts w:ascii="Arial" w:hAnsi="Arial"/>
                <w:b w:val="0"/>
                <w:color w:val="404040"/>
                <w:sz w:val="14"/>
              </w:rPr>
              <w:t>PM/SM or delegated</w:t>
            </w:r>
          </w:p>
        </w:tc>
        <w:tc>
          <w:tcPr>
            <w:tcW w:type="dxa" w:w="2556"/>
            <w:vAlign w:val="top"/>
            <w:shd w:fill="FFFFFF"/>
          </w:tcPr>
          <w:p>
            <w:pPr>
              <w:spacing w:after="0"/>
            </w:pPr>
            <w:r/>
            <w:r>
              <w:rPr>
                <w:rFonts w:ascii="Arial" w:hAnsi="Arial"/>
                <w:b w:val="0"/>
                <w:color w:val="404040"/>
                <w:sz w:val="14"/>
              </w:rPr>
              <w:t>Foreman may request within delegated scope</w:t>
            </w:r>
          </w:p>
        </w:tc>
        <w:tc>
          <w:tcPr>
            <w:tcW w:type="dxa" w:w="2556"/>
            <w:vAlign w:val="top"/>
            <w:shd w:fill="FFFFFF"/>
          </w:tcPr>
          <w:p>
            <w:pPr>
              <w:spacing w:after="0"/>
            </w:pPr>
            <w:r/>
            <w:r>
              <w:rPr>
                <w:rFonts w:ascii="Arial" w:hAnsi="Arial"/>
                <w:b w:val="0"/>
                <w:color w:val="404040"/>
                <w:sz w:val="14"/>
              </w:rPr>
              <w:t>Worker only if explicitly enabled</w:t>
            </w:r>
          </w:p>
        </w:tc>
      </w:tr>
      <w:tr>
        <w:tc>
          <w:tcPr>
            <w:tcW w:type="dxa" w:w="2556"/>
            <w:vAlign w:val="top"/>
            <w:shd w:fill="F2F2F2"/>
          </w:tcPr>
          <w:p>
            <w:pPr>
              <w:spacing w:after="0"/>
            </w:pPr>
            <w:r/>
            <w:r>
              <w:rPr>
                <w:rFonts w:ascii="Arial" w:hAnsi="Arial"/>
                <w:b w:val="0"/>
                <w:color w:val="404040"/>
                <w:sz w:val="14"/>
              </w:rPr>
              <w:t>Approve purchase</w:t>
            </w:r>
          </w:p>
        </w:tc>
        <w:tc>
          <w:tcPr>
            <w:tcW w:type="dxa" w:w="2556"/>
            <w:vAlign w:val="top"/>
            <w:shd w:fill="F2F2F2"/>
          </w:tcPr>
          <w:p>
            <w:pPr>
              <w:spacing w:after="0"/>
            </w:pPr>
            <w:r/>
            <w:r>
              <w:rPr>
                <w:rFonts w:ascii="Arial" w:hAnsi="Arial"/>
                <w:b w:val="0"/>
                <w:color w:val="404040"/>
                <w:sz w:val="14"/>
              </w:rPr>
              <w:t>Authorized approver by amount</w:t>
            </w:r>
          </w:p>
        </w:tc>
        <w:tc>
          <w:tcPr>
            <w:tcW w:type="dxa" w:w="2556"/>
            <w:vAlign w:val="top"/>
            <w:shd w:fill="F2F2F2"/>
          </w:tcPr>
          <w:p>
            <w:pPr>
              <w:spacing w:after="0"/>
            </w:pPr>
            <w:r/>
            <w:r>
              <w:rPr>
                <w:rFonts w:ascii="Arial" w:hAnsi="Arial"/>
                <w:b w:val="0"/>
                <w:color w:val="404040"/>
                <w:sz w:val="14"/>
              </w:rPr>
              <w:t>Procurement cannot self-approve</w:t>
            </w:r>
          </w:p>
        </w:tc>
        <w:tc>
          <w:tcPr>
            <w:tcW w:type="dxa" w:w="2556"/>
            <w:vAlign w:val="top"/>
            <w:shd w:fill="F2F2F2"/>
          </w:tcPr>
          <w:p>
            <w:pPr>
              <w:spacing w:after="0"/>
            </w:pPr>
            <w:r/>
            <w:r>
              <w:rPr>
                <w:rFonts w:ascii="Arial" w:hAnsi="Arial"/>
                <w:b w:val="0"/>
                <w:color w:val="404040"/>
                <w:sz w:val="14"/>
              </w:rPr>
              <w:t>Segregation of duties</w:t>
            </w:r>
          </w:p>
        </w:tc>
      </w:tr>
      <w:tr>
        <w:tc>
          <w:tcPr>
            <w:tcW w:type="dxa" w:w="2556"/>
            <w:vAlign w:val="top"/>
            <w:shd w:fill="FFFFFF"/>
          </w:tcPr>
          <w:p>
            <w:pPr>
              <w:spacing w:after="0"/>
            </w:pPr>
            <w:r/>
            <w:r>
              <w:rPr>
                <w:rFonts w:ascii="Arial" w:hAnsi="Arial"/>
                <w:b w:val="0"/>
                <w:color w:val="404040"/>
                <w:sz w:val="14"/>
              </w:rPr>
              <w:t>Confirm receipt</w:t>
            </w:r>
          </w:p>
        </w:tc>
        <w:tc>
          <w:tcPr>
            <w:tcW w:type="dxa" w:w="2556"/>
            <w:vAlign w:val="top"/>
            <w:shd w:fill="FFFFFF"/>
          </w:tcPr>
          <w:p>
            <w:pPr>
              <w:spacing w:after="0"/>
            </w:pPr>
            <w:r/>
            <w:r>
              <w:rPr>
                <w:rFonts w:ascii="Arial" w:hAnsi="Arial"/>
                <w:b w:val="0"/>
                <w:color w:val="404040"/>
                <w:sz w:val="14"/>
              </w:rPr>
              <w:t>Site Logistics/authorized receiver</w:t>
            </w:r>
          </w:p>
        </w:tc>
        <w:tc>
          <w:tcPr>
            <w:tcW w:type="dxa" w:w="2556"/>
            <w:vAlign w:val="top"/>
            <w:shd w:fill="FFFFFF"/>
          </w:tcPr>
          <w:p>
            <w:pPr>
              <w:spacing w:after="0"/>
            </w:pPr>
            <w:r/>
            <w:r>
              <w:rPr>
                <w:rFonts w:ascii="Arial" w:hAnsi="Arial"/>
                <w:b w:val="0"/>
                <w:color w:val="404040"/>
                <w:sz w:val="14"/>
              </w:rPr>
              <w:t>SM can verify operationally</w:t>
            </w:r>
          </w:p>
        </w:tc>
        <w:tc>
          <w:tcPr>
            <w:tcW w:type="dxa" w:w="2556"/>
            <w:vAlign w:val="top"/>
            <w:shd w:fill="FFFFFF"/>
          </w:tcPr>
          <w:p>
            <w:pPr>
              <w:spacing w:after="0"/>
            </w:pPr>
            <w:r/>
            <w:r>
              <w:rPr>
                <w:rFonts w:ascii="Arial" w:hAnsi="Arial"/>
                <w:b w:val="0"/>
                <w:color w:val="404040"/>
                <w:sz w:val="14"/>
              </w:rPr>
              <w:t>Procurement does not confirm physical receipt alone</w:t>
            </w:r>
          </w:p>
        </w:tc>
      </w:tr>
      <w:tr>
        <w:tc>
          <w:tcPr>
            <w:tcW w:type="dxa" w:w="2556"/>
            <w:vAlign w:val="top"/>
            <w:shd w:fill="F2F2F2"/>
          </w:tcPr>
          <w:p>
            <w:pPr>
              <w:spacing w:after="0"/>
            </w:pPr>
            <w:r/>
            <w:r>
              <w:rPr>
                <w:rFonts w:ascii="Arial" w:hAnsi="Arial"/>
                <w:b w:val="0"/>
                <w:color w:val="404040"/>
                <w:sz w:val="14"/>
              </w:rPr>
              <w:t>Create design deviation</w:t>
            </w:r>
          </w:p>
        </w:tc>
        <w:tc>
          <w:tcPr>
            <w:tcW w:type="dxa" w:w="2556"/>
            <w:vAlign w:val="top"/>
            <w:shd w:fill="F2F2F2"/>
          </w:tcPr>
          <w:p>
            <w:pPr>
              <w:spacing w:after="0"/>
            </w:pPr>
            <w:r/>
            <w:r>
              <w:rPr>
                <w:rFonts w:ascii="Arial" w:hAnsi="Arial"/>
                <w:b w:val="0"/>
                <w:color w:val="404040"/>
                <w:sz w:val="14"/>
              </w:rPr>
              <w:t>PM/SM/RFI originator</w:t>
            </w:r>
          </w:p>
        </w:tc>
        <w:tc>
          <w:tcPr>
            <w:tcW w:type="dxa" w:w="2556"/>
            <w:vAlign w:val="top"/>
            <w:shd w:fill="F2F2F2"/>
          </w:tcPr>
          <w:p>
            <w:pPr>
              <w:spacing w:after="0"/>
            </w:pPr>
            <w:r/>
            <w:r>
              <w:rPr>
                <w:rFonts w:ascii="Arial" w:hAnsi="Arial"/>
                <w:b w:val="0"/>
                <w:color w:val="404040"/>
                <w:sz w:val="14"/>
              </w:rPr>
              <w:t>Technical approver required</w:t>
            </w:r>
          </w:p>
        </w:tc>
        <w:tc>
          <w:tcPr>
            <w:tcW w:type="dxa" w:w="2556"/>
            <w:vAlign w:val="top"/>
            <w:shd w:fill="F2F2F2"/>
          </w:tcPr>
          <w:p>
            <w:pPr>
              <w:spacing w:after="0"/>
            </w:pPr>
            <w:r/>
            <w:r>
              <w:rPr>
                <w:rFonts w:ascii="Arial" w:hAnsi="Arial"/>
                <w:b w:val="0"/>
                <w:color w:val="404040"/>
                <w:sz w:val="14"/>
              </w:rPr>
              <w:t>No uncontrolled field change</w:t>
            </w:r>
          </w:p>
        </w:tc>
      </w:tr>
      <w:tr>
        <w:tc>
          <w:tcPr>
            <w:tcW w:type="dxa" w:w="2556"/>
            <w:vAlign w:val="top"/>
            <w:shd w:fill="FFFFFF"/>
          </w:tcPr>
          <w:p>
            <w:pPr>
              <w:spacing w:after="0"/>
            </w:pPr>
            <w:r/>
            <w:r>
              <w:rPr>
                <w:rFonts w:ascii="Arial" w:hAnsi="Arial"/>
                <w:b w:val="0"/>
                <w:color w:val="404040"/>
                <w:sz w:val="14"/>
              </w:rPr>
              <w:t>Close HSE incident</w:t>
            </w:r>
          </w:p>
        </w:tc>
        <w:tc>
          <w:tcPr>
            <w:tcW w:type="dxa" w:w="2556"/>
            <w:vAlign w:val="top"/>
            <w:shd w:fill="FFFFFF"/>
          </w:tcPr>
          <w:p>
            <w:pPr>
              <w:spacing w:after="0"/>
            </w:pPr>
            <w:r/>
            <w:r>
              <w:rPr>
                <w:rFonts w:ascii="Arial" w:hAnsi="Arial"/>
                <w:b w:val="0"/>
                <w:color w:val="404040"/>
                <w:sz w:val="14"/>
              </w:rPr>
              <w:t>HSE/authorized manager</w:t>
            </w:r>
          </w:p>
        </w:tc>
        <w:tc>
          <w:tcPr>
            <w:tcW w:type="dxa" w:w="2556"/>
            <w:vAlign w:val="top"/>
            <w:shd w:fill="FFFFFF"/>
          </w:tcPr>
          <w:p>
            <w:pPr>
              <w:spacing w:after="0"/>
            </w:pPr>
            <w:r/>
            <w:r>
              <w:rPr>
                <w:rFonts w:ascii="Arial" w:hAnsi="Arial"/>
                <w:b w:val="0"/>
                <w:color w:val="404040"/>
                <w:sz w:val="14"/>
              </w:rPr>
              <w:t>Serious incident can escalate directly</w:t>
            </w:r>
          </w:p>
        </w:tc>
        <w:tc>
          <w:tcPr>
            <w:tcW w:type="dxa" w:w="2556"/>
            <w:vAlign w:val="top"/>
            <w:shd w:fill="FFFFFF"/>
          </w:tcPr>
          <w:p>
            <w:pPr>
              <w:spacing w:after="0"/>
            </w:pPr>
            <w:r/>
            <w:r>
              <w:rPr>
                <w:rFonts w:ascii="Arial" w:hAnsi="Arial"/>
                <w:b w:val="0"/>
                <w:color w:val="404040"/>
                <w:sz w:val="14"/>
              </w:rPr>
              <w:t>Cannot be silently deleted</w:t>
            </w:r>
          </w:p>
        </w:tc>
      </w:tr>
      <w:tr>
        <w:tc>
          <w:tcPr>
            <w:tcW w:type="dxa" w:w="2556"/>
            <w:vAlign w:val="top"/>
            <w:shd w:fill="F2F2F2"/>
          </w:tcPr>
          <w:p>
            <w:pPr>
              <w:spacing w:after="0"/>
            </w:pPr>
            <w:r/>
            <w:r>
              <w:rPr>
                <w:rFonts w:ascii="Arial" w:hAnsi="Arial"/>
                <w:b w:val="0"/>
                <w:color w:val="404040"/>
                <w:sz w:val="14"/>
              </w:rPr>
              <w:t>Close punch item</w:t>
            </w:r>
          </w:p>
        </w:tc>
        <w:tc>
          <w:tcPr>
            <w:tcW w:type="dxa" w:w="2556"/>
            <w:vAlign w:val="top"/>
            <w:shd w:fill="F2F2F2"/>
          </w:tcPr>
          <w:p>
            <w:pPr>
              <w:spacing w:after="0"/>
            </w:pPr>
            <w:r/>
            <w:r>
              <w:rPr>
                <w:rFonts w:ascii="Arial" w:hAnsi="Arial"/>
                <w:b w:val="0"/>
                <w:color w:val="404040"/>
                <w:sz w:val="14"/>
              </w:rPr>
              <w:t>Quality/SM/PM per workflow</w:t>
            </w:r>
          </w:p>
        </w:tc>
        <w:tc>
          <w:tcPr>
            <w:tcW w:type="dxa" w:w="2556"/>
            <w:vAlign w:val="top"/>
            <w:shd w:fill="F2F2F2"/>
          </w:tcPr>
          <w:p>
            <w:pPr>
              <w:spacing w:after="0"/>
            </w:pPr>
            <w:r/>
            <w:r>
              <w:rPr>
                <w:rFonts w:ascii="Arial" w:hAnsi="Arial"/>
                <w:b w:val="0"/>
                <w:color w:val="404040"/>
                <w:sz w:val="14"/>
              </w:rPr>
              <w:t>Evidence required where applicable</w:t>
            </w:r>
          </w:p>
        </w:tc>
        <w:tc>
          <w:tcPr>
            <w:tcW w:type="dxa" w:w="2556"/>
            <w:vAlign w:val="top"/>
            <w:shd w:fill="F2F2F2"/>
          </w:tcPr>
          <w:p>
            <w:pPr>
              <w:spacing w:after="0"/>
            </w:pPr>
            <w:r/>
            <w:r>
              <w:rPr>
                <w:rFonts w:ascii="Arial" w:hAnsi="Arial"/>
                <w:b w:val="0"/>
                <w:color w:val="404040"/>
                <w:sz w:val="14"/>
              </w:rPr>
              <w:t>No erase of audit history</w:t>
            </w:r>
          </w:p>
        </w:tc>
      </w:tr>
    </w:tbl>
    <w:p>
      <w:pPr>
        <w:spacing w:after="40"/>
      </w:pPr>
    </w:p>
    <w:p>
      <w:pPr>
        <w:pStyle w:val="Heading2"/>
      </w:pPr>
      <w:r>
        <w:t>5.1 GAP-01 — Role &amp; permission redesign</w:t>
      </w:r>
    </w:p>
    <w:p>
      <w:r>
        <w:rPr>
          <w:b/>
        </w:rPr>
        <w:t xml:space="preserve">Gap. </w:t>
      </w:r>
      <w:r>
        <w:t>Current application roles (worker/team_leader/manager/admin) do not fully represent the documented HIIEKO operating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Role / Permission / RolePermission (or equivalent existing ACL tables)</w:t>
              <w:br/>
              <w:t>• UserOrganizationRole / UserProjectRole / UserSiteRole</w:t>
              <w:br/>
              <w:t>• ProjectMember / SiteMember</w:t>
              <w:br/>
              <w:t>• ApprovalMatrix / ApprovalRule</w:t>
              <w:br/>
              <w:t>• ExternalCollaboratorOwner</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 /api/roles</w:t>
              <w:br/>
              <w:t>• GET /api/permissions</w:t>
              <w:br/>
              <w:t>• POST /api/users/:id/roles</w:t>
              <w:br/>
              <w:t>• DELETE /api/users/:id/roles/:roleId</w:t>
              <w:br/>
              <w:t>• POST /api/projects/:id/members</w:t>
              <w:br/>
              <w:t>• POST /api/sites/:id/members</w:t>
              <w:br/>
              <w:t>• GET /api/approval-matrix</w:t>
              <w:br/>
              <w:t>• PUT /api/approval-matrix</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/admin/users</w:t>
              <w:br/>
              <w:t>• /admin/roles</w:t>
              <w:br/>
              <w:t>• /admin/permissions</w:t>
              <w:br/>
              <w:t>• /admin/approval-matrix</w:t>
              <w:br/>
              <w:t>• Project/Site Members drawer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Account/session screen</w:t>
              <w:br/>
              <w:t>• My assigned site/team</w:t>
              <w:br/>
              <w:t>• Role-aware navigation</w:t>
              <w:br/>
              <w:t>• Permission denied state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Admin configures roles</w:t>
              <w:br/>
              <w:t>• MD/authorized admin manages assignments</w:t>
              <w:br/>
              <w:t>• PM controls project membership</w:t>
              <w:br/>
              <w:t>• SM controls site/team assignment within scope</w:t>
              <w:br/>
              <w:t>• All actions enforced server-side</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Unit: role → permission resolution</w:t>
              <w:br/>
              <w:t>• Integration: project-scope isolation</w:t>
              <w:br/>
              <w:t>• Integration: external user cannot act outside assigned scope</w:t>
              <w:br/>
              <w:t>• Security: denied action returns 403</w:t>
              <w:br/>
              <w:t>• Approval matrix: submitter cannot approve own expense</w:t>
              <w:br/>
              <w:t>• Regression: existing JWT login/me still pass</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Current User/Profile schema; stable role IDs; GAP-13</w:t>
            </w:r>
          </w:p>
        </w:tc>
      </w:tr>
    </w:tbl>
    <w:p>
      <w:pPr>
        <w:spacing w:after="40"/>
      </w:pPr>
    </w:p>
    <w:p>
      <w:r>
        <w:rPr>
          <w:b/>
        </w:rPr>
        <w:t>Acceptance criteria</w:t>
      </w:r>
    </w:p>
    <w:p>
      <w:pPr>
        <w:spacing w:after="40"/>
        <w:ind w:left="259" w:hanging="173"/>
      </w:pPr>
      <w:r>
        <w:rPr>
          <w:sz w:val="18"/>
        </w:rPr>
        <w:t>• One project has one nominated PM.</w:t>
      </w:r>
    </w:p>
    <w:p>
      <w:pPr>
        <w:spacing w:after="40"/>
        <w:ind w:left="259" w:hanging="173"/>
      </w:pPr>
      <w:r>
        <w:rPr>
          <w:sz w:val="18"/>
        </w:rPr>
        <w:t>• One site/execution scope has one nominated SM.</w:t>
      </w:r>
    </w:p>
    <w:p>
      <w:pPr>
        <w:spacing w:after="40"/>
        <w:ind w:left="259" w:hanging="173"/>
      </w:pPr>
      <w:r>
        <w:rPr>
          <w:sz w:val="18"/>
        </w:rPr>
        <w:t>• Every external collaborator has an internal owner.</w:t>
      </w:r>
    </w:p>
    <w:p>
      <w:pPr>
        <w:spacing w:after="40"/>
        <w:ind w:left="259" w:hanging="173"/>
      </w:pPr>
      <w:r>
        <w:rPr>
          <w:sz w:val="18"/>
        </w:rPr>
        <w:t>• API authorization blocks cross-project/site access.</w:t>
      </w:r>
    </w:p>
    <w:p>
      <w:pPr>
        <w:pStyle w:val="Heading2"/>
      </w:pPr>
      <w:r>
        <w:t>5.2 GAP-02 — Daily work planning &amp; task assignment</w:t>
      </w:r>
    </w:p>
    <w:p>
      <w:r>
        <w:rPr>
          <w:b/>
        </w:rPr>
        <w:t xml:space="preserve">Gap. </w:t>
      </w:r>
      <w:r>
        <w:t>Daily/weekly work planning and assignment are required by the Site Manager role but are not equivalent to the current daily-report screen.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WorkPlan</w:t>
              <w:br/>
              <w:t>• WorkPlanItem / Task</w:t>
              <w:br/>
              <w:t>• TaskAssignment</w:t>
              <w:br/>
              <w:t>• Team / TeamMember</w:t>
              <w:br/>
              <w:t>• ProgressEntry</w:t>
              <w:br/>
              <w:t>• TaskDependency (if existing, extend)</w:t>
              <w:br/>
              <w:t>• TaskEvidence</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/api/work-plans</w:t>
              <w:br/>
              <w:t>• GET/PATCH /api/work-plans/:id</w:t>
              <w:br/>
              <w:t>• POST /api/work-plans/:id/items</w:t>
              <w:br/>
              <w:t>• POST /api/tasks/:id/assignments</w:t>
              <w:br/>
              <w:t>• PATCH /api/task-assignments/:id/status</w:t>
              <w:br/>
              <w:t>• POST /api/tasks/:id/progress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/rapoarte/planificare</w:t>
              <w:br/>
              <w:t>• /rapoarte/task-uri</w:t>
              <w:br/>
              <w:t>• Project → Work Plan drawer</w:t>
              <w:br/>
              <w:t>• Site Manager execution board</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My Tasks</w:t>
              <w:br/>
              <w:t>• Today’s Work</w:t>
              <w:br/>
              <w:t>• Task detail</w:t>
              <w:br/>
              <w:t>• Progress/evidence capture</w:t>
              <w:br/>
              <w:t>• Blocked task</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PM/SM create plans</w:t>
              <w:br/>
              <w:t>• SM/Foreman assign within scope</w:t>
              <w:br/>
              <w:t>• Workers update own assigned task status/progress</w:t>
              <w:br/>
              <w:t>• PM/TD view portfolio progress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Task cannot be assigned outside worker site/team scope</w:t>
              <w:br/>
              <w:t>• Planned quantity vs actual quantity preserved</w:t>
              <w:br/>
              <w:t>• Task completion requires required evidence where configured</w:t>
              <w:br/>
              <w:t>• Overlapping/conflicting assignment validation</w:t>
              <w:br/>
              <w:t>• Offline task update syncs idempotently</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GAP-03, GAP-14</w:t>
            </w:r>
          </w:p>
        </w:tc>
      </w:tr>
    </w:tbl>
    <w:p>
      <w:pPr>
        <w:spacing w:after="40"/>
      </w:pPr>
    </w:p>
    <w:p>
      <w:r>
        <w:rPr>
          <w:b/>
        </w:rPr>
        <w:t>Acceptance criteria</w:t>
      </w:r>
    </w:p>
    <w:p>
      <w:pPr>
        <w:spacing w:after="40"/>
        <w:ind w:left="259" w:hanging="173"/>
      </w:pPr>
      <w:r>
        <w:rPr>
          <w:sz w:val="18"/>
        </w:rPr>
        <w:t>• Site Manager can publish a daily plan.</w:t>
      </w:r>
    </w:p>
    <w:p>
      <w:pPr>
        <w:spacing w:after="40"/>
        <w:ind w:left="259" w:hanging="173"/>
      </w:pPr>
      <w:r>
        <w:rPr>
          <w:sz w:val="18"/>
        </w:rPr>
        <w:t>• Foreman can see assigned work fronts and workers.</w:t>
      </w:r>
    </w:p>
    <w:p>
      <w:pPr>
        <w:spacing w:after="40"/>
        <w:ind w:left="259" w:hanging="173"/>
      </w:pPr>
      <w:r>
        <w:rPr>
          <w:sz w:val="18"/>
        </w:rPr>
        <w:t>• Worker can update assigned task only.</w:t>
      </w:r>
    </w:p>
    <w:p>
      <w:pPr>
        <w:spacing w:after="40"/>
        <w:ind w:left="259" w:hanging="173"/>
      </w:pPr>
      <w:r>
        <w:rPr>
          <w:sz w:val="18"/>
        </w:rPr>
        <w:t>• Actual progress rolls into project/site statistics.</w:t>
      </w:r>
    </w:p>
    <w:p>
      <w:pPr>
        <w:pStyle w:val="Heading2"/>
      </w:pPr>
      <w:r>
        <w:t>5.3 GAP-03 — Project Manager control layer</w:t>
      </w:r>
    </w:p>
    <w:p>
      <w:r>
        <w:rPr>
          <w:b/>
        </w:rPr>
        <w:t xml:space="preserve">Gap. </w:t>
      </w:r>
      <w:r>
        <w:t>The Control Tower exists, but project-level ownership needs structured schedule, budget, risk, issue, variation and handover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ProjectMilestone</w:t>
              <w:br/>
              <w:t>• ProjectBudgetLine</w:t>
              <w:br/>
              <w:t>• ProjectForecast</w:t>
              <w:br/>
              <w:t>• ProjectRisk</w:t>
              <w:br/>
              <w:t>• ProjectIssue</w:t>
              <w:br/>
              <w:t>• ProjectVariation</w:t>
              <w:br/>
              <w:t>• ProjectClientCommitment</w:t>
              <w:br/>
              <w:t>• ProjectEscalation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/api/projects/:id/milestones</w:t>
              <w:br/>
              <w:t>• GET/POST /api/projects/:id/budget</w:t>
              <w:br/>
              <w:t>• GET/POST /api/projects/:id/risks</w:t>
              <w:br/>
              <w:t>• GET/POST /api/projects/:id/issues</w:t>
              <w:br/>
              <w:t>• GET/POST /api/projects/:id/variations</w:t>
              <w:br/>
              <w:t>• POST /api/projects/:id/escalations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/proiecte/:id</w:t>
              <w:br/>
              <w:t>• /proiecte/:id/finante</w:t>
              <w:br/>
              <w:t>• /proiecte/:id/riscuri</w:t>
              <w:br/>
              <w:t>• /proiecte/:id/issues</w:t>
              <w:br/>
              <w:t>• /proiecte/:id/variatii</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Project summary for PM/SM</w:t>
              <w:br/>
              <w:t>• Escalation capture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 owns project records</w:t>
              <w:br/>
              <w:t>• TD reviews portfolio</w:t>
              <w:br/>
              <w:t>• MD sees company-level controls</w:t>
              <w:br/>
              <w:t>• SM updates operational evidence but not project budget ownership</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Project access is scoped</w:t>
              <w:br/>
              <w:t>• Budget totals reconcile</w:t>
              <w:br/>
              <w:t>• Variation approval leaves audit record</w:t>
              <w:br/>
              <w:t>• Risk status transitions validate</w:t>
              <w:br/>
              <w:t>• Overdue milestones appear in Control Tower</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GAP-02, GAP-21</w:t>
            </w:r>
          </w:p>
        </w:tc>
      </w:tr>
    </w:tbl>
    <w:p>
      <w:pPr>
        <w:spacing w:after="40"/>
      </w:pPr>
    </w:p>
    <w:p>
      <w:r>
        <w:rPr>
          <w:b/>
        </w:rPr>
        <w:t>Acceptance criteria</w:t>
      </w:r>
    </w:p>
    <w:p>
      <w:pPr>
        <w:spacing w:after="40"/>
        <w:ind w:left="259" w:hanging="173"/>
      </w:pPr>
      <w:r>
        <w:rPr>
          <w:sz w:val="18"/>
        </w:rPr>
        <w:t>• PM can manage project schedule/budget/risk/variation records without direct worker-task permissions.</w:t>
      </w:r>
    </w:p>
    <w:p>
      <w:pPr>
        <w:spacing w:after="40"/>
        <w:ind w:left="259" w:hanging="173"/>
      </w:pPr>
      <w:r>
        <w:rPr>
          <w:sz w:val="18"/>
        </w:rPr>
        <w:t>• Control Tower can drill down to the underlying PM records.</w:t>
      </w:r>
    </w:p>
    <w:p>
      <w:pPr>
        <w:pStyle w:val="Heading2"/>
      </w:pPr>
      <w:r>
        <w:t>5.4 GAP-04 — Procurement &amp; material request workflow</w:t>
      </w:r>
    </w:p>
    <w:p>
      <w:r>
        <w:rPr>
          <w:b/>
        </w:rPr>
        <w:t xml:space="preserve">Gap. </w:t>
      </w:r>
      <w:r>
        <w:t>Delivery notes and stock do not cover the full PM → Procurement → Finance → Site Logistics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MaterialRequest</w:t>
              <w:br/>
              <w:t>• MaterialRequestLine</w:t>
              <w:br/>
              <w:t>• SupplierQuote</w:t>
              <w:br/>
              <w:t>• QuoteComparison</w:t>
              <w:br/>
              <w:t>• PurchaseOrder</w:t>
              <w:br/>
              <w:t>• PurchaseOrderLine</w:t>
              <w:br/>
              <w:t>• PurchaseApproval</w:t>
              <w:br/>
              <w:t>• SupplierDelivery</w:t>
              <w:br/>
              <w:t>• GoodsReceipt</w:t>
              <w:br/>
              <w:t>• ProcurementDocument</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/api/procurement/requests</w:t>
              <w:br/>
              <w:t>• POST /api/procurement/requests/:id/submit</w:t>
              <w:br/>
              <w:t>• POST /api/procurement/requests/:id/approve</w:t>
              <w:br/>
              <w:t>• GET/POST /api/procurement/quotes</w:t>
              <w:br/>
              <w:t>• POST /api/procurement/quotes/compare</w:t>
              <w:br/>
              <w:t>• GET/POST /api/procurement/purchase-orders</w:t>
              <w:br/>
              <w:t>• POST /api/procurement/purchase-orders/:id/approve</w:t>
              <w:br/>
              <w:t>• POST /api/procurement/goods-receipts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/achizitii/cereri</w:t>
              <w:br/>
              <w:t>• /achizitii/oferte</w:t>
              <w:br/>
              <w:t>• /achizitii/comparatii</w:t>
              <w:br/>
              <w:t>• /achizitii/comenzi</w:t>
              <w:br/>
              <w:t>• /achizitii/recepții</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Material request (SM/Foreman if allowed)</w:t>
              <w:br/>
              <w:t>• Delivery receiving</w:t>
              <w:br/>
              <w:t>• Receipt evidence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PM/SM create requests within project</w:t>
              <w:br/>
              <w:t>• Procurement manages sourcing/PO</w:t>
              <w:br/>
              <w:t>• Finance approves according to matrix</w:t>
              <w:br/>
              <w:t>• Logistics confirms physical receipt</w:t>
              <w:br/>
              <w:t>• No single user should create/approve/receive the same procurement when segregation is required</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Approval matrix enforced by amount/project</w:t>
              <w:br/>
              <w:t>• Supplier quote comparison is reproducible</w:t>
              <w:br/>
              <w:t>• PO cannot exceed approved request without change control</w:t>
              <w:br/>
              <w:t>• Goods receipt cannot exceed expected quantity without exception path</w:t>
              <w:br/>
              <w:t>• Receipt updates stock atomically</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GAP-03, GAP-05</w:t>
            </w:r>
          </w:p>
        </w:tc>
      </w:tr>
    </w:tbl>
    <w:p>
      <w:pPr>
        <w:spacing w:after="40"/>
      </w:pPr>
    </w:p>
    <w:p>
      <w:r>
        <w:rPr>
          <w:b/>
        </w:rPr>
        <w:t>Acceptance criteria</w:t>
      </w:r>
    </w:p>
    <w:p>
      <w:pPr>
        <w:spacing w:after="40"/>
        <w:ind w:left="259" w:hanging="173"/>
      </w:pPr>
      <w:r>
        <w:rPr>
          <w:sz w:val="18"/>
        </w:rPr>
        <w:t>• Every purchase starts from an approved project requirement.</w:t>
      </w:r>
    </w:p>
    <w:p>
      <w:pPr>
        <w:spacing w:after="40"/>
        <w:ind w:left="259" w:hanging="173"/>
      </w:pPr>
      <w:r>
        <w:rPr>
          <w:sz w:val="18"/>
        </w:rPr>
        <w:t>• Physical receipt is distinct from financial approval.</w:t>
      </w:r>
    </w:p>
    <w:p>
      <w:pPr>
        <w:spacing w:after="40"/>
        <w:ind w:left="259" w:hanging="173"/>
      </w:pPr>
      <w:r>
        <w:rPr>
          <w:sz w:val="18"/>
        </w:rPr>
        <w:t>• Delivery documents remain linked to the PO and stock receipt.</w:t>
      </w:r>
    </w:p>
    <w:p>
      <w:pPr>
        <w:pStyle w:val="Heading2"/>
      </w:pPr>
      <w:r>
        <w:t>5.5 GAP-05 — Stock traceability, tools &amp; assets</w:t>
      </w:r>
    </w:p>
    <w:p>
      <w:r>
        <w:rPr>
          <w:b/>
        </w:rPr>
        <w:t xml:space="preserve">Gap. </w:t>
      </w:r>
      <w:r>
        <w:t>Current stock capability needs lot/location/team/activity traceability plus tools, equipment and site assets.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StockLocation</w:t>
              <w:br/>
              <w:t>• StockLot / Batch</w:t>
              <w:br/>
              <w:t>• StockMovement (extend if existing)</w:t>
              <w:br/>
              <w:t>• MaterialConsumption</w:t>
              <w:br/>
              <w:t>• MaterialAllocation</w:t>
              <w:br/>
              <w:t>• Tool</w:t>
              <w:br/>
              <w:t>• ToolAssignment</w:t>
              <w:br/>
              <w:t>• Asset</w:t>
              <w:br/>
              <w:t>• AssetAssignment</w:t>
              <w:br/>
              <w:t>• AssetInspection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 /api/inventory/locations</w:t>
              <w:br/>
              <w:t>• GET /api/inventory/lots</w:t>
              <w:br/>
              <w:t>• POST /api/inventory/transfers</w:t>
              <w:br/>
              <w:t>• POST /api/inventory/consumption</w:t>
              <w:br/>
              <w:t>• GET/POST /api/tools</w:t>
              <w:br/>
              <w:t>• POST /api/tools/:id/assign</w:t>
              <w:br/>
              <w:t>• GET/POST /api/assets</w:t>
              <w:br/>
              <w:t>• POST /api/assets/:id/assign</w:t>
              <w:br/>
              <w:t>• POST /api/assets/:id/inspect</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/stocuri</w:t>
              <w:br/>
              <w:t>• /stocuri/trasabilitate</w:t>
              <w:br/>
              <w:t>• /unelte</w:t>
              <w:br/>
              <w:t>• /active-site</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My assigned tools/assets</w:t>
              <w:br/>
              <w:t>• Scan/enter asset</w:t>
              <w:br/>
              <w:t>• Material issue/consumption</w:t>
              <w:br/>
              <w:t>• Transfer/return</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Logistics owns operational inventory</w:t>
              <w:br/>
              <w:t>• SM approves/requests operational allocation as policy dictates</w:t>
              <w:br/>
              <w:t>• Foreman may record team consumption if delegated</w:t>
              <w:br/>
              <w:t>• Workers acknowledge assigned tools/assets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Negative stock impossible under concurrency</w:t>
              <w:br/>
              <w:t>• Stock movement is atomic and audited</w:t>
              <w:br/>
              <w:t>• Lot/serial remains traceable after transfer</w:t>
              <w:br/>
              <w:t>• Tool cannot be assigned to two active holders without explicit policy</w:t>
              <w:br/>
              <w:t>• Asset transfer history complete</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GAP-04</w:t>
            </w:r>
          </w:p>
        </w:tc>
      </w:tr>
    </w:tbl>
    <w:p>
      <w:pPr>
        <w:spacing w:after="40"/>
      </w:pPr>
    </w:p>
    <w:p>
      <w:r>
        <w:rPr>
          <w:b/>
        </w:rPr>
        <w:t>Acceptance criteria</w:t>
      </w:r>
    </w:p>
    <w:p>
      <w:pPr>
        <w:spacing w:after="40"/>
        <w:ind w:left="259" w:hanging="173"/>
      </w:pPr>
      <w:r>
        <w:rPr>
          <w:sz w:val="18"/>
        </w:rPr>
        <w:t>• Stock can be traced from receipt to location/team/activity.</w:t>
      </w:r>
    </w:p>
    <w:p>
      <w:pPr>
        <w:spacing w:after="40"/>
        <w:ind w:left="259" w:hanging="173"/>
      </w:pPr>
      <w:r>
        <w:rPr>
          <w:sz w:val="18"/>
        </w:rPr>
        <w:t>• Tools/assets have current custodian and history.</w:t>
      </w:r>
    </w:p>
    <w:p>
      <w:pPr>
        <w:spacing w:after="40"/>
        <w:ind w:left="259" w:hanging="173"/>
      </w:pPr>
      <w:r>
        <w:rPr>
          <w:sz w:val="18"/>
        </w:rPr>
        <w:t>• All stock corrections require reason and audit.</w:t>
      </w:r>
    </w:p>
    <w:p>
      <w:pPr>
        <w:pStyle w:val="Heading2"/>
      </w:pPr>
      <w:r>
        <w:t>5.6 GAP-06 — HSE / safety workflow</w:t>
      </w:r>
    </w:p>
    <w:p>
      <w:r>
        <w:rPr>
          <w:b/>
        </w:rPr>
        <w:t xml:space="preserve">Gap. </w:t>
      </w:r>
      <w:r>
        <w:t>Site Manager responsibilities include toolbox talks, PPE, incidents, near misses and unsafe conditions; a complete digital workflow is not yet listed.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ToolboxTalk</w:t>
              <w:br/>
              <w:t>• ToolboxParticipant</w:t>
              <w:br/>
              <w:t>• HSEIncident</w:t>
              <w:br/>
              <w:t>• HSEAction</w:t>
              <w:br/>
              <w:t>• NearMiss</w:t>
              <w:br/>
              <w:t>• UnsafeCondition</w:t>
              <w:br/>
              <w:t>• PPEItem</w:t>
              <w:br/>
              <w:t>• PPEIssue</w:t>
              <w:br/>
              <w:t>• HSEDocument</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/api/hse/toolbox-talks</w:t>
              <w:br/>
              <w:t>• POST /api/hse/toolbox-talks/:id/participants</w:t>
              <w:br/>
              <w:t>• GET/POST /api/hse/incidents</w:t>
              <w:br/>
              <w:t>• POST /api/hse/incidents/:id/actions</w:t>
              <w:br/>
              <w:t>• GET/POST /api/hse/near-misses</w:t>
              <w:br/>
              <w:t>• GET/POST /api/hse/unsafe-conditions</w:t>
              <w:br/>
              <w:t>• GET/POST /api/hse/ppe/issues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/hse</w:t>
              <w:br/>
              <w:t>• /hse/toolbox</w:t>
              <w:br/>
              <w:t>• /hse/incidente</w:t>
              <w:br/>
              <w:t>• /hse/actiuni</w:t>
              <w:br/>
              <w:t>• /hse/ppe</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Toolbox Talk attendance/acknowledgement</w:t>
              <w:br/>
              <w:t>• Report incident/near miss</w:t>
              <w:br/>
              <w:t>• Unsafe condition capture</w:t>
              <w:br/>
              <w:t>• PPE issue acknowledgement</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SM/HSE create and manage within site</w:t>
              <w:br/>
              <w:t>• Workers can report</w:t>
              <w:br/>
              <w:t>• Serious incident escalation may bypass normal chain to TD/MD</w:t>
              <w:br/>
              <w:t>• Closure restricted to authorized HSE/management role</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Worker can report but not delete incident</w:t>
              <w:br/>
              <w:t>• Serious incident creates escalation event</w:t>
              <w:br/>
              <w:t>• Toolbox participation is immutable after sign-off except correction flow</w:t>
              <w:br/>
              <w:t>• PPE issue linked to worker and date</w:t>
              <w:br/>
              <w:t>• All closure actions audited</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GAP-16, GAP-17</w:t>
            </w:r>
          </w:p>
        </w:tc>
      </w:tr>
    </w:tbl>
    <w:p>
      <w:pPr>
        <w:spacing w:after="40"/>
      </w:pPr>
    </w:p>
    <w:p>
      <w:r>
        <w:rPr>
          <w:b/>
        </w:rPr>
        <w:t>Acceptance criteria</w:t>
      </w:r>
    </w:p>
    <w:p>
      <w:pPr>
        <w:spacing w:after="40"/>
        <w:ind w:left="259" w:hanging="173"/>
      </w:pPr>
      <w:r>
        <w:rPr>
          <w:sz w:val="18"/>
        </w:rPr>
        <w:t>• Incidents, near misses and unsafe conditions have lifecycle status.</w:t>
      </w:r>
    </w:p>
    <w:p>
      <w:pPr>
        <w:spacing w:after="40"/>
        <w:ind w:left="259" w:hanging="173"/>
      </w:pPr>
      <w:r>
        <w:rPr>
          <w:sz w:val="18"/>
        </w:rPr>
        <w:t>• Serious safety issues can escalate outside normal chain.</w:t>
      </w:r>
    </w:p>
    <w:p>
      <w:pPr>
        <w:spacing w:after="40"/>
        <w:ind w:left="259" w:hanging="173"/>
      </w:pPr>
      <w:r>
        <w:rPr>
          <w:sz w:val="18"/>
        </w:rPr>
        <w:t>• Toolbox/PPE participation is traceable.</w:t>
      </w:r>
    </w:p>
    <w:p>
      <w:pPr>
        <w:pStyle w:val="Heading2"/>
      </w:pPr>
      <w:r>
        <w:t>5.7 GAP-07 — Quality &amp; punch list</w:t>
      </w:r>
    </w:p>
    <w:p>
      <w:r>
        <w:rPr>
          <w:b/>
        </w:rPr>
        <w:t xml:space="preserve">Gap. </w:t>
      </w:r>
      <w:r>
        <w:t>Quality inspections, defect tracking and punch-list closure are part of Site Manager duties but lack a dedicated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QualityInspection</w:t>
              <w:br/>
              <w:t>• QualityFinding</w:t>
              <w:br/>
              <w:t>• PunchListItem</w:t>
              <w:br/>
              <w:t>• CorrectiveAction</w:t>
              <w:br/>
              <w:t>• InspectionEvidence</w:t>
              <w:br/>
              <w:t>• Approval/Verification record</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/api/quality/inspections</w:t>
              <w:br/>
              <w:t>• POST /api/quality/inspections/:id/findings</w:t>
              <w:br/>
              <w:t>• GET/POST /api/quality/punch-list</w:t>
              <w:br/>
              <w:t>• PATCH /api/quality/punch-list/:id</w:t>
              <w:br/>
              <w:t>• POST /api/quality/punch-list/:id/verify</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/calitate</w:t>
              <w:br/>
              <w:t>• /calitate/inspecții</w:t>
              <w:br/>
              <w:t>• /calitate/punch-list</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Inspection checklist</w:t>
              <w:br/>
              <w:t>• Defect photo/evidence</w:t>
              <w:br/>
              <w:t>• Punch item update</w:t>
              <w:br/>
              <w:t>• Verification evidence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SM/HSE/quality roles create inspections</w:t>
              <w:br/>
              <w:t>• Workers/subcontractors can receive assigned corrective actions</w:t>
              <w:br/>
              <w:t>• Verification restricted to designated role</w:t>
              <w:br/>
              <w:t>• PM sees project-level defects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Finding cannot close without required evidence</w:t>
              <w:br/>
              <w:t>• Due-date overdue state works</w:t>
              <w:br/>
              <w:t>• Corrective action owner restricted to valid site/project member</w:t>
              <w:br/>
              <w:t>• Verified item remains in audit history</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GAP-02, GAP-08, GAP-09</w:t>
            </w:r>
          </w:p>
        </w:tc>
      </w:tr>
    </w:tbl>
    <w:p>
      <w:pPr>
        <w:spacing w:after="40"/>
      </w:pPr>
    </w:p>
    <w:p>
      <w:r>
        <w:rPr>
          <w:b/>
        </w:rPr>
        <w:t>Acceptance criteria</w:t>
      </w:r>
    </w:p>
    <w:p>
      <w:pPr>
        <w:spacing w:after="40"/>
        <w:ind w:left="259" w:hanging="173"/>
      </w:pPr>
      <w:r>
        <w:rPr>
          <w:sz w:val="18"/>
        </w:rPr>
        <w:t>• Defect lifecycle is visible by project/site.</w:t>
      </w:r>
    </w:p>
    <w:p>
      <w:pPr>
        <w:spacing w:after="40"/>
        <w:ind w:left="259" w:hanging="173"/>
      </w:pPr>
      <w:r>
        <w:rPr>
          <w:sz w:val="18"/>
        </w:rPr>
        <w:t>• Punch-list closure requires verification.</w:t>
      </w:r>
    </w:p>
    <w:p>
      <w:pPr>
        <w:pStyle w:val="Heading2"/>
      </w:pPr>
      <w:r>
        <w:t>5.8 GAP-08 — RFI / technical change control</w:t>
      </w:r>
    </w:p>
    <w:p>
      <w:r>
        <w:rPr>
          <w:b/>
        </w:rPr>
        <w:t xml:space="preserve">Gap. </w:t>
      </w:r>
      <w:r>
        <w:t>The organization requires no uncontrolled design deviation; an explicit RFI/approval workflow is needed.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Rfi</w:t>
              <w:br/>
              <w:t>• RfiResponse</w:t>
              <w:br/>
              <w:t>• TechnicalApproval</w:t>
              <w:br/>
              <w:t>• FieldInstruction</w:t>
              <w:br/>
              <w:t>• DesignChange</w:t>
              <w:br/>
              <w:t>• DrawingReference</w:t>
              <w:br/>
              <w:t>• DeviationEvidence</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/api/rfis</w:t>
              <w:br/>
              <w:t>• POST /api/rfis/:id/respond</w:t>
              <w:br/>
              <w:t>• POST /api/rfis/:id/approve</w:t>
              <w:br/>
              <w:t>• GET/POST /api/design-changes</w:t>
              <w:br/>
              <w:t>• POST /api/design-changes/:id/approve</w:t>
              <w:br/>
              <w:t>• POST /api/field-instructions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/tehnic/rfis</w:t>
              <w:br/>
              <w:t>• /tehnic/modificari</w:t>
              <w:br/>
              <w:t>• Project → RFIs / changes</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Create RFI from site</w:t>
              <w:br/>
              <w:t>• Attach photo/drawing reference</w:t>
              <w:br/>
              <w:t>• See approved field instruction</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Site staff can raise</w:t>
              <w:br/>
              <w:t>• PM coordinates</w:t>
              <w:br/>
              <w:t>• Technical Director/design authority approves by policy</w:t>
              <w:br/>
              <w:t>• Workers cannot implement unapproved deviation</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Unapproved design change cannot be marked implemented</w:t>
              <w:br/>
              <w:t>• Approval captures approver and timestamp</w:t>
              <w:br/>
              <w:t>• RFI is linked to project/site and source drawing</w:t>
              <w:br/>
              <w:t>• Field instruction visible to affected site users</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GAP-03, GAP-09</w:t>
            </w:r>
          </w:p>
        </w:tc>
      </w:tr>
    </w:tbl>
    <w:p>
      <w:pPr>
        <w:spacing w:after="40"/>
      </w:pPr>
    </w:p>
    <w:p>
      <w:r>
        <w:rPr>
          <w:b/>
        </w:rPr>
        <w:t>Acceptance criteria</w:t>
      </w:r>
    </w:p>
    <w:p>
      <w:pPr>
        <w:spacing w:after="40"/>
        <w:ind w:left="259" w:hanging="173"/>
      </w:pPr>
      <w:r>
        <w:rPr>
          <w:sz w:val="18"/>
        </w:rPr>
        <w:t>• No design deviation reaches “implemented” without the configured approval.</w:t>
      </w:r>
    </w:p>
    <w:p>
      <w:pPr>
        <w:spacing w:after="40"/>
        <w:ind w:left="259" w:hanging="173"/>
      </w:pPr>
      <w:r>
        <w:rPr>
          <w:sz w:val="18"/>
        </w:rPr>
        <w:t>• Technical decision history is retained.</w:t>
      </w:r>
    </w:p>
    <w:p>
      <w:pPr>
        <w:pStyle w:val="Heading2"/>
      </w:pPr>
      <w:r>
        <w:t>5.9 GAP-09 — Project document management</w:t>
      </w:r>
    </w:p>
    <w:p>
      <w:r>
        <w:rPr>
          <w:b/>
        </w:rPr>
        <w:t xml:space="preserve">Gap. </w:t>
      </w:r>
      <w:r>
        <w:t>Receipts/delivery files exist in specific workflows, but HIIEKO needs project-wide versioned documentation and formal handover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ProjectDocument</w:t>
              <w:br/>
              <w:t>• DocumentVersion</w:t>
              <w:br/>
              <w:t>• DocumentCategory</w:t>
              <w:br/>
              <w:t>• DocumentApproval</w:t>
              <w:br/>
              <w:t>• DocumentAcknowledgement</w:t>
              <w:br/>
              <w:t>• DocumentLink</w:t>
              <w:br/>
              <w:t>• DocumentRetention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/api/projects/:id/documents</w:t>
              <w:br/>
              <w:t>• POST /api/documents/:id/versions</w:t>
              <w:br/>
              <w:t>• POST /api/documents/:id/approve</w:t>
              <w:br/>
              <w:t>• POST /api/documents/:id/acknowledge</w:t>
              <w:br/>
              <w:t>• GET /api/documents/:id/download</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/documente</w:t>
              <w:br/>
              <w:t>• Project → Documents</w:t>
              <w:br/>
              <w:t>• Document approval/version drawer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Project/site document viewer</w:t>
              <w:br/>
              <w:t>• Required-document acknowledgement</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Read by scoped membership</w:t>
              <w:br/>
              <w:t>• Upload by role</w:t>
              <w:br/>
              <w:t>• Approve by designated role</w:t>
              <w:br/>
              <w:t>• Delete replaced by controlled archive/version flow where possible</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Version ordering correct</w:t>
              <w:br/>
              <w:t>• Old version remains retrievable</w:t>
              <w:br/>
              <w:t>• Unauthorized user cannot download scoped document</w:t>
              <w:br/>
              <w:t>• Approval state blocks use of unapproved document where configured</w:t>
              <w:br/>
              <w:t>• Checksum/file metadata retained</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GAP-17, architecture decision on storage</w:t>
            </w:r>
          </w:p>
        </w:tc>
      </w:tr>
    </w:tbl>
    <w:p>
      <w:pPr>
        <w:spacing w:after="40"/>
      </w:pPr>
    </w:p>
    <w:p>
      <w:r>
        <w:rPr>
          <w:b/>
        </w:rPr>
        <w:t>Acceptance criteria</w:t>
      </w:r>
    </w:p>
    <w:p>
      <w:pPr>
        <w:spacing w:after="40"/>
        <w:ind w:left="259" w:hanging="173"/>
      </w:pPr>
      <w:r>
        <w:rPr>
          <w:sz w:val="18"/>
        </w:rPr>
        <w:t>• Documents are versioned and linked to projects/sites/processes.</w:t>
      </w:r>
    </w:p>
    <w:p>
      <w:pPr>
        <w:spacing w:after="40"/>
        <w:ind w:left="259" w:hanging="173"/>
      </w:pPr>
      <w:r>
        <w:rPr>
          <w:sz w:val="18"/>
        </w:rPr>
        <w:t>• Handover-required document set can be checked for completeness.</w:t>
      </w:r>
    </w:p>
    <w:p>
      <w:pPr>
        <w:pStyle w:val="Heading2"/>
      </w:pPr>
      <w:r>
        <w:t>5.10 GAP-10 — Subcontractor management</w:t>
      </w:r>
    </w:p>
    <w:p>
      <w:r>
        <w:rPr>
          <w:b/>
        </w:rPr>
        <w:t xml:space="preserve">Gap. </w:t>
      </w:r>
      <w:r>
        <w:t>Subcontractors are part of PM/Site Manager responsibilities but lack a dedicated operational record.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Subcontractor</w:t>
              <w:br/>
              <w:t>• SubcontractorContract</w:t>
              <w:br/>
              <w:t>• SubcontractorContact</w:t>
              <w:br/>
              <w:t>• SubcontractorWorker</w:t>
              <w:br/>
              <w:t>• SubcontractorDocument</w:t>
              <w:br/>
              <w:t>• SubcontractorScope</w:t>
              <w:br/>
              <w:t>• SubcontractorProgress</w:t>
              <w:br/>
              <w:t>• SubcontractorIssue</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/api/subcontractors</w:t>
              <w:br/>
              <w:t>• POST /api/projects/:id/subcontractors</w:t>
              <w:br/>
              <w:t>• POST /api/subcontractors/:id/workers</w:t>
              <w:br/>
              <w:t>• POST /api/subcontractors/:id/documents</w:t>
              <w:br/>
              <w:t>• POST /api/subcontractors/:id/progress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/subcontractori</w:t>
              <w:br/>
              <w:t>• Project → Subcontractors</w:t>
              <w:br/>
              <w:t>• Subcontractor detail</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Assigned subcontractor work view for SM/Foreman</w:t>
              <w:br/>
              <w:t>• Evidence upload</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 owns commercial/project subcontractor relationship</w:t>
              <w:br/>
              <w:t>• SM manages field coordination</w:t>
              <w:br/>
              <w:t>• External subcontractor limited to own scope if given login</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Subcontractor access limited to assigned project/site</w:t>
              <w:br/>
              <w:t>• Expired required document generates notification</w:t>
              <w:br/>
              <w:t>• Progress cannot be posted to unrelated project</w:t>
              <w:br/>
              <w:t>• Contract scope visible on task assignment</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GAP-03, GAP-09</w:t>
            </w:r>
          </w:p>
        </w:tc>
      </w:tr>
    </w:tbl>
    <w:p>
      <w:pPr>
        <w:spacing w:after="40"/>
      </w:pPr>
    </w:p>
    <w:p>
      <w:r>
        <w:rPr>
          <w:b/>
        </w:rPr>
        <w:t>Acceptance criteria</w:t>
      </w:r>
    </w:p>
    <w:p>
      <w:pPr>
        <w:spacing w:after="40"/>
        <w:ind w:left="259" w:hanging="173"/>
      </w:pPr>
      <w:r>
        <w:rPr>
          <w:sz w:val="18"/>
        </w:rPr>
        <w:t>• Every subcontractor has scope, project and internal owner.</w:t>
      </w:r>
    </w:p>
    <w:p>
      <w:pPr>
        <w:spacing w:after="40"/>
        <w:ind w:left="259" w:hanging="173"/>
      </w:pPr>
      <w:r>
        <w:rPr>
          <w:sz w:val="18"/>
        </w:rPr>
        <w:t>• Field users can track performance/progress without granting company-wide access.</w:t>
      </w:r>
    </w:p>
    <w:p>
      <w:pPr>
        <w:pStyle w:val="Heading2"/>
      </w:pPr>
      <w:r>
        <w:t>5.11 GAP-11 — Client / stakeholder communications</w:t>
      </w:r>
    </w:p>
    <w:p>
      <w:r>
        <w:rPr>
          <w:b/>
        </w:rPr>
        <w:t xml:space="preserve">Gap. </w:t>
      </w:r>
      <w:r>
        <w:t>PM is the primary project-level client interface; the system needs traceable meetings, actions and commitments.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Meeting</w:t>
              <w:br/>
              <w:t>• MeetingParticipant</w:t>
              <w:br/>
              <w:t>• MeetingAction</w:t>
              <w:br/>
              <w:t>• ClientCommitment</w:t>
              <w:br/>
              <w:t>• ProjectCommunication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/api/projects/:id/meetings</w:t>
              <w:br/>
              <w:t>• POST /api/meetings/:id/actions</w:t>
              <w:br/>
              <w:t>• PATCH /api/meeting-actions/:id</w:t>
              <w:br/>
              <w:t>• GET/POST /api/projects/:id/commitments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/proiecte/:id/ședințe</w:t>
              <w:br/>
              <w:t>• /proiecte/:id/acțiuni</w:t>
              <w:br/>
              <w:t>• /proiecte/:id/commitments</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Meeting action capture for PM/SM</w:t>
              <w:br/>
              <w:t>• Action reminders</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 owns formal project commitments</w:t>
              <w:br/>
              <w:t>• SM can record site meeting actions</w:t>
              <w:br/>
              <w:t>• Client/external users only if explicitly onboarded</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Action owner must be project member</w:t>
              <w:br/>
              <w:t>• Overdue action notification</w:t>
              <w:br/>
              <w:t>• Client commitment changes audited</w:t>
              <w:br/>
              <w:t>• Meeting minutes linked to documents</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GAP-03, GAP-09, GAP-16</w:t>
            </w:r>
          </w:p>
        </w:tc>
      </w:tr>
    </w:tbl>
    <w:p>
      <w:pPr>
        <w:spacing w:after="40"/>
      </w:pPr>
    </w:p>
    <w:p>
      <w:r>
        <w:rPr>
          <w:b/>
        </w:rPr>
        <w:t>Acceptance criteria</w:t>
      </w:r>
    </w:p>
    <w:p>
      <w:pPr>
        <w:spacing w:after="40"/>
        <w:ind w:left="259" w:hanging="173"/>
      </w:pPr>
      <w:r>
        <w:rPr>
          <w:sz w:val="18"/>
        </w:rPr>
        <w:t>• Every project meeting can produce owned, due-dated actions.</w:t>
      </w:r>
    </w:p>
    <w:p>
      <w:pPr>
        <w:spacing w:after="40"/>
        <w:ind w:left="259" w:hanging="173"/>
      </w:pPr>
      <w:r>
        <w:rPr>
          <w:sz w:val="18"/>
        </w:rPr>
        <w:t>• Client commitments are visible to PM/management.</w:t>
      </w:r>
    </w:p>
    <w:p>
      <w:pPr>
        <w:pStyle w:val="Heading2"/>
      </w:pPr>
      <w:r>
        <w:t>5.12 GAP-12 — Commissioning, handover &amp; O&amp;M</w:t>
      </w:r>
    </w:p>
    <w:p>
      <w:r>
        <w:rPr>
          <w:b/>
        </w:rPr>
        <w:t xml:space="preserve">Gap. </w:t>
      </w:r>
      <w:r>
        <w:t>The documented EPC→O&amp;M handover requires as-builts, warranties, commissioning records, equipment lists and outstanding issues.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CommissioningPackage</w:t>
              <w:br/>
              <w:t>• CommissioningTest</w:t>
              <w:br/>
              <w:t>• HandoverPackage</w:t>
              <w:br/>
              <w:t>• HandoverItem</w:t>
              <w:br/>
              <w:t>• Warranty</w:t>
              <w:br/>
              <w:t>• OandMAsset</w:t>
              <w:br/>
              <w:t>• MaintenancePlan</w:t>
              <w:br/>
              <w:t>• MaintenanceWorkOrder</w:t>
              <w:br/>
              <w:t>• ServiceRecord</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/api/projects/:id/commissioning</w:t>
              <w:br/>
              <w:t>• POST /api/commissioning/:id/tests</w:t>
              <w:br/>
              <w:t>• GET/POST /api/projects/:id/handover</w:t>
              <w:br/>
              <w:t>• POST /api/handover/:id/items/:itemId/accept</w:t>
              <w:br/>
              <w:t>• GET/POST /api/assets/:id/warranties</w:t>
              <w:br/>
              <w:t>• GET/POST /api/maintenance/plans</w:t>
              <w:br/>
              <w:t>• GET/POST /api/maintenance/work-orders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/proiecte/:id/commissioning</w:t>
              <w:br/>
              <w:t>• /proiecte/:id/handover</w:t>
              <w:br/>
              <w:t>• /oam</w:t>
              <w:br/>
              <w:t>• /oam/assets</w:t>
              <w:br/>
              <w:t>• /oam/maintenance</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Commissioning checklist</w:t>
              <w:br/>
              <w:t>• Handover evidence</w:t>
              <w:br/>
              <w:t>• Maintenance work order</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PM controls EPC handover</w:t>
              <w:br/>
              <w:t>• TD oversees technical acceptance</w:t>
              <w:br/>
              <w:t>• O&amp;M owns post-handover work</w:t>
              <w:br/>
              <w:t>• Site staff provide evidence</w:t>
              <w:br/>
              <w:t>• Client acceptance where applicable</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Handover cannot complete with mandatory items missing</w:t>
              <w:br/>
              <w:t>• Warranty dates validate</w:t>
              <w:br/>
              <w:t>• Maintenance work order can reference handover asset</w:t>
              <w:br/>
              <w:t>• Asset serial number uniqueness</w:t>
              <w:br/>
              <w:t>• Handover package is immutable after final acceptance except controlled amendment</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GAP-05, GAP-07, GAP-08, GAP-09</w:t>
            </w:r>
          </w:p>
        </w:tc>
      </w:tr>
    </w:tbl>
    <w:p>
      <w:pPr>
        <w:spacing w:after="40"/>
      </w:pPr>
    </w:p>
    <w:p>
      <w:r>
        <w:rPr>
          <w:b/>
        </w:rPr>
        <w:t>Acceptance criteria</w:t>
      </w:r>
    </w:p>
    <w:p>
      <w:pPr>
        <w:spacing w:after="40"/>
        <w:ind w:left="259" w:hanging="173"/>
      </w:pPr>
      <w:r>
        <w:rPr>
          <w:sz w:val="18"/>
        </w:rPr>
        <w:t>• A project can transition from EPC to O&amp;M with a traceable package.</w:t>
      </w:r>
    </w:p>
    <w:p>
      <w:pPr>
        <w:spacing w:after="40"/>
        <w:ind w:left="259" w:hanging="173"/>
      </w:pPr>
      <w:r>
        <w:rPr>
          <w:sz w:val="18"/>
        </w:rPr>
        <w:t>• O&amp;M asset register is populated from the accepted handover.</w:t>
      </w:r>
    </w:p>
    <w:p>
      <w:pPr>
        <w:pStyle w:val="Heading2"/>
      </w:pPr>
      <w:r>
        <w:t>5.13 GAP-13 — Mobile authentication &amp; account lifecycle</w:t>
      </w:r>
    </w:p>
    <w:p>
      <w:r>
        <w:rPr>
          <w:b/>
        </w:rPr>
        <w:t xml:space="preserve">Gap. </w:t>
      </w:r>
      <w:r>
        <w:t>Mobile still uses a hardcoded demo user; LoginScreen exists but is not wired into production 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RefreshToken / Session (or equivalent)</w:t>
              <w:br/>
              <w:t>• DeviceSession</w:t>
              <w:br/>
              <w:t>• AccountStatus</w:t>
              <w:br/>
              <w:t>• PasswordResetToken / invitation state</w:t>
              <w:br/>
              <w:t>• LoginAudit</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POST /api/auth/login (existing)</w:t>
              <w:br/>
              <w:t>• POST /api/auth/refresh</w:t>
              <w:br/>
              <w:t>• POST /api/auth/logout</w:t>
              <w:br/>
              <w:t>• POST /api/auth/request-reset</w:t>
              <w:br/>
              <w:t>• POST /api/auth/complete-reset</w:t>
              <w:br/>
              <w:t>• GET /api/auth/sessions</w:t>
              <w:br/>
              <w:t>• DELETE /api/auth/sessions/:id</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Existing login page remains canonical</w:t>
              <w:br/>
              <w:t>• Admin → user invite/activation/session management</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LoginScreen wired</w:t>
              <w:br/>
              <w:t>• Session restore</w:t>
              <w:br/>
              <w:t>• Logout</w:t>
              <w:br/>
              <w:t>• Expired session handling</w:t>
              <w:br/>
              <w:t>• Password reset / activation link handoff</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Auth endpoints public as configured</w:t>
              <w:br/>
              <w:t>• Account management admin-only</w:t>
              <w:br/>
              <w:t>• Users can revoke own sessions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Invalid credentials fail</w:t>
              <w:br/>
              <w:t>• Expired access token refreshes correctly</w:t>
              <w:br/>
              <w:t>• Logout revokes session</w:t>
              <w:br/>
              <w:t>• Deactivated account cannot refresh</w:t>
              <w:br/>
              <w:t>• Mobile boots into login rather than demo user</w:t>
              <w:br/>
              <w:t>• JWT scope/role claims match server authorization</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GAP-14, GAP-17</w:t>
            </w:r>
          </w:p>
        </w:tc>
      </w:tr>
    </w:tbl>
    <w:p>
      <w:pPr>
        <w:spacing w:after="40"/>
      </w:pPr>
    </w:p>
    <w:p>
      <w:r>
        <w:rPr>
          <w:b/>
        </w:rPr>
        <w:t>Acceptance criteria</w:t>
      </w:r>
    </w:p>
    <w:p>
      <w:pPr>
        <w:spacing w:after="40"/>
        <w:ind w:left="259" w:hanging="173"/>
      </w:pPr>
      <w:r>
        <w:rPr>
          <w:sz w:val="18"/>
        </w:rPr>
        <w:t>• No hardcoded demo identity remains in release build.</w:t>
      </w:r>
    </w:p>
    <w:p>
      <w:pPr>
        <w:spacing w:after="40"/>
        <w:ind w:left="259" w:hanging="173"/>
      </w:pPr>
      <w:r>
        <w:rPr>
          <w:sz w:val="18"/>
        </w:rPr>
        <w:t>• Mobile uses real HIIEKO authentication from login through logout.</w:t>
      </w:r>
    </w:p>
    <w:p>
      <w:pPr>
        <w:pStyle w:val="Heading2"/>
      </w:pPr>
      <w:r>
        <w:t>5.14 GAP-14 — Offline sync &amp; conflict handling</w:t>
      </w:r>
    </w:p>
    <w:p>
      <w:r>
        <w:rPr>
          <w:b/>
        </w:rPr>
        <w:t xml:space="preserve">Gap. </w:t>
      </w:r>
      <w:r>
        <w:t>An offline queue scaffold exists, but production behavior needs idempotency, retries, conflict states and deterministic reconciliation.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Optional SyncReceipt / IdempotencyKey / MobileMutation record if server-side tracking is required</w:t>
              <w:br/>
              <w:t>• ConflictAudit (optional)</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POST /api/sync/batch</w:t>
              <w:br/>
              <w:t>• POST /api/sync/ack</w:t>
              <w:br/>
              <w:t>• GET /api/sync/status</w:t>
              <w:br/>
              <w:t>• POST /api/sync/reconcile</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Admin/ops → sync diagnostics (optional)</w:t>
              <w:br/>
              <w:t>• No user-facing web dependency for core offline flow</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Offline banner/status</w:t>
              <w:br/>
              <w:t>• Pending queue</w:t>
              <w:br/>
              <w:t>• Retry failed item</w:t>
              <w:br/>
              <w:t>• Conflict review</w:t>
              <w:br/>
              <w:t>• Sync complete confirmation</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Server re-authorizes every synced mutation</w:t>
              <w:br/>
              <w:t>• User can only sync mutations they were allowed to create when online</w:t>
              <w:br/>
              <w:t>• Admin/ops may inspect sync failures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Duplicate mutation is idempotent</w:t>
              <w:br/>
              <w:t>• Out-of-order mutations are detected</w:t>
              <w:br/>
              <w:t>• Forbidden offline mutation is rejected server-side</w:t>
              <w:br/>
              <w:t>• Network retry does not duplicate stock/attendance/expense</w:t>
              <w:br/>
              <w:t>• Conflict is visible and recoverable</w:t>
              <w:br/>
              <w:t>• Queue survives app restart</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GAP-13, GAP-05, GAP-15</w:t>
            </w:r>
          </w:p>
        </w:tc>
      </w:tr>
    </w:tbl>
    <w:p>
      <w:pPr>
        <w:spacing w:after="40"/>
      </w:pPr>
    </w:p>
    <w:p>
      <w:r>
        <w:rPr>
          <w:b/>
        </w:rPr>
        <w:t>Acceptance criteria</w:t>
      </w:r>
    </w:p>
    <w:p>
      <w:pPr>
        <w:spacing w:after="40"/>
        <w:ind w:left="259" w:hanging="173"/>
      </w:pPr>
      <w:r>
        <w:rPr>
          <w:sz w:val="18"/>
        </w:rPr>
        <w:t>• Attendance, reports, delivery evidence and expenses remain usable offline as explicitly designed.</w:t>
      </w:r>
    </w:p>
    <w:p>
      <w:pPr>
        <w:spacing w:after="40"/>
        <w:ind w:left="259" w:hanging="173"/>
      </w:pPr>
      <w:r>
        <w:rPr>
          <w:sz w:val="18"/>
        </w:rPr>
        <w:t>• A sync retry never creates duplicate financial/stock/attendance records.</w:t>
      </w:r>
    </w:p>
    <w:p>
      <w:pPr>
        <w:pStyle w:val="Heading2"/>
      </w:pPr>
      <w:r>
        <w:t>5.15 GAP-15 — Expense + OCR review/approval workflow</w:t>
      </w:r>
    </w:p>
    <w:p>
      <w:r>
        <w:rPr>
          <w:b/>
        </w:rPr>
        <w:t xml:space="preserve">Gap. </w:t>
      </w:r>
      <w:r>
        <w:t>OCR components exist, but the production process needs end-to-end review, confidence handling, approval, finance state and payment/reimbursement tracking.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Expense (existing/extend)</w:t>
              <w:br/>
              <w:t>• ExpenseDocument</w:t>
              <w:br/>
              <w:t>• OcrExtraction</w:t>
              <w:br/>
              <w:t>• ExpenseReviewStep</w:t>
              <w:br/>
              <w:t>• ExpenseApproval</w:t>
              <w:br/>
              <w:t>• ExpensePayment</w:t>
              <w:br/>
              <w:t>• ExpenseRejection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/api/expenses (existing)</w:t>
              <w:br/>
              <w:t>• POST /api/expenses/:id/ocr</w:t>
              <w:br/>
              <w:t>• POST /api/expenses/:id/review</w:t>
              <w:br/>
              <w:t>• POST /api/expenses/:id/submit</w:t>
              <w:br/>
              <w:t>• POST /api/expenses/:id/approve</w:t>
              <w:br/>
              <w:t>• POST /api/expenses/:id/reject</w:t>
              <w:br/>
              <w:t>• POST /api/expenses/:id/pay</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/cheltuieli</w:t>
              <w:br/>
              <w:t>• /aprobare</w:t>
              <w:br/>
              <w:t>• /finance/expense-payments</w:t>
              <w:br/>
              <w:t>• Expense review drawer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Receipt scan</w:t>
              <w:br/>
              <w:t>• OCR review</w:t>
              <w:br/>
              <w:t>• Submit expense</w:t>
              <w:br/>
              <w:t>• Approval status</w:t>
              <w:br/>
              <w:t>• Rejected expense correction</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Worker submits own eligible expense</w:t>
              <w:br/>
              <w:t>• Manager/Finance approves according to matrix</w:t>
              <w:br/>
              <w:t>• Submitter cannot approve own expense</w:t>
              <w:br/>
              <w:t>• Finance marks paid</w:t>
              <w:br/>
              <w:t>• OCR service never decides business approval</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Low-confidence OCR requires review</w:t>
              <w:br/>
              <w:t>• Totals reconcile with line items</w:t>
              <w:br/>
              <w:t>• Self-approval blocked</w:t>
              <w:br/>
              <w:t>• Approval/rejection immutable except controlled correction</w:t>
              <w:br/>
              <w:t>• Receipt file access protected</w:t>
              <w:br/>
              <w:t>• OCR timeout/retry safe</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GAP-09, GAP-13, OCR architecture decision</w:t>
            </w:r>
          </w:p>
        </w:tc>
      </w:tr>
    </w:tbl>
    <w:p>
      <w:pPr>
        <w:spacing w:after="40"/>
      </w:pPr>
    </w:p>
    <w:p>
      <w:r>
        <w:rPr>
          <w:b/>
        </w:rPr>
        <w:t>Acceptance criteria</w:t>
      </w:r>
    </w:p>
    <w:p>
      <w:pPr>
        <w:spacing w:after="40"/>
        <w:ind w:left="259" w:hanging="173"/>
      </w:pPr>
      <w:r>
        <w:rPr>
          <w:sz w:val="18"/>
        </w:rPr>
        <w:t>• User can correct low-confidence OCR fields before submission.</w:t>
      </w:r>
    </w:p>
    <w:p>
      <w:pPr>
        <w:spacing w:after="40"/>
        <w:ind w:left="259" w:hanging="173"/>
      </w:pPr>
      <w:r>
        <w:rPr>
          <w:sz w:val="18"/>
        </w:rPr>
        <w:t>• Approval and payment are separate states.</w:t>
      </w:r>
    </w:p>
    <w:p>
      <w:pPr>
        <w:spacing w:after="40"/>
        <w:ind w:left="259" w:hanging="173"/>
      </w:pPr>
      <w:r>
        <w:rPr>
          <w:sz w:val="18"/>
        </w:rPr>
        <w:t>• Every decision is auditable.</w:t>
      </w:r>
    </w:p>
    <w:p>
      <w:pPr>
        <w:pStyle w:val="Heading2"/>
      </w:pPr>
      <w:r>
        <w:t>5.16 GAP-16 — Event-driven notifications</w:t>
      </w:r>
    </w:p>
    <w:p>
      <w:r>
        <w:rPr>
          <w:b/>
        </w:rPr>
        <w:t xml:space="preserve">Gap. </w:t>
      </w:r>
      <w:r>
        <w:t>Notifications need real business triggers rather than being only a destination screen.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Notification</w:t>
              <w:br/>
              <w:t>• NotificationPreference</w:t>
              <w:br/>
              <w:t>• NotificationEvent</w:t>
              <w:br/>
              <w:t>• NotificationDelivery</w:t>
              <w:br/>
              <w:t>• NotificationTemplate</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 /api/notifications (existing)</w:t>
              <w:br/>
              <w:t>• POST /api/notifications/read</w:t>
              <w:br/>
              <w:t>• GET/PUT /api/notification-preferences</w:t>
              <w:br/>
              <w:t>• POST /api/notifications/test (admin/non-prod only)</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/notificari</w:t>
              <w:br/>
              <w:t>• User notification settings</w:t>
              <w:br/>
              <w:t>• Notification center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Push permission/status</w:t>
              <w:br/>
              <w:t>• Inbox</w:t>
              <w:br/>
              <w:t>• Deep-link to source record</w:t>
              <w:br/>
              <w:t>• Notification preference settings</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Users receive only events visible to their scope</w:t>
              <w:br/>
              <w:t>• Admins configure templates/channels where allowed</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Event produces correct recipients</w:t>
              <w:br/>
              <w:t>• No cross-project data leakage in message payload</w:t>
              <w:br/>
              <w:t>• Read state syncs across web/mobile</w:t>
              <w:br/>
              <w:t>• Failed push is retried safely</w:t>
              <w:br/>
              <w:t>• Critical HSE event follows configured escalation</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GAP-06, GAP-08, GAP-15, GAP-17</w:t>
            </w:r>
          </w:p>
        </w:tc>
      </w:tr>
    </w:tbl>
    <w:p>
      <w:pPr>
        <w:spacing w:after="40"/>
      </w:pPr>
    </w:p>
    <w:p>
      <w:r>
        <w:rPr>
          <w:b/>
        </w:rPr>
        <w:t>Acceptance criteria</w:t>
      </w:r>
    </w:p>
    <w:p>
      <w:pPr>
        <w:spacing w:after="40"/>
        <w:ind w:left="259" w:hanging="173"/>
      </w:pPr>
      <w:r>
        <w:rPr>
          <w:sz w:val="18"/>
        </w:rPr>
        <w:t>• Core workflows automatically notify the responsible role without manual message creation.</w:t>
      </w:r>
    </w:p>
    <w:p>
      <w:pPr>
        <w:pStyle w:val="Heading2"/>
      </w:pPr>
      <w:r>
        <w:t>5.17 GAP-17 — Audit, security governance &amp; controlled corrections</w:t>
      </w:r>
    </w:p>
    <w:p>
      <w:r>
        <w:rPr>
          <w:b/>
        </w:rPr>
        <w:t xml:space="preserve">Gap. </w:t>
      </w:r>
      <w:r>
        <w:t>A central AuditService already exists; coverage must expand so every high-risk business transition is traceable and corrections are controlled.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AuditLog (existing/extend)</w:t>
              <w:br/>
              <w:t>• AuditDiff / AuditChangeSet if needed</w:t>
              <w:br/>
              <w:t>• SecurityEvent</w:t>
              <w:br/>
              <w:t>• DataCorrectionRequest</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 /api/audit</w:t>
              <w:br/>
              <w:t>• GET /api/audit/:id</w:t>
              <w:br/>
              <w:t>• POST /api/corrections</w:t>
              <w:br/>
              <w:t>• GET /api/security-events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/admin/audit</w:t>
              <w:br/>
              <w:t>• Admin → security events</w:t>
              <w:br/>
              <w:t>• Record detail → audit drawer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No broad audit UI; show user-visible correction/request status where needed</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Audit read restricted to authorized management/admin roles</w:t>
              <w:br/>
              <w:t>• Users can request corrections but cannot rewrite audit history</w:t>
              <w:br/>
              <w:t>• Security events visible to designated admins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Before/after diff captured</w:t>
              <w:br/>
              <w:t>• Audit records are append-only</w:t>
              <w:br/>
              <w:t>• Permission changes audited</w:t>
              <w:br/>
              <w:t>• Login/session security events recorded</w:t>
              <w:br/>
              <w:t>• Correction workflow preserves original record</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All high-risk features</w:t>
            </w:r>
          </w:p>
        </w:tc>
      </w:tr>
    </w:tbl>
    <w:p>
      <w:pPr>
        <w:spacing w:after="40"/>
      </w:pPr>
    </w:p>
    <w:p>
      <w:r>
        <w:rPr>
          <w:b/>
        </w:rPr>
        <w:t>Acceptance criteria</w:t>
      </w:r>
    </w:p>
    <w:p>
      <w:pPr>
        <w:spacing w:after="40"/>
        <w:ind w:left="259" w:hanging="173"/>
      </w:pPr>
      <w:r>
        <w:rPr>
          <w:sz w:val="18"/>
        </w:rPr>
        <w:t>• Critical actions have actor, timestamp, object, before/after or event details.</w:t>
      </w:r>
    </w:p>
    <w:p>
      <w:pPr>
        <w:spacing w:after="40"/>
        <w:ind w:left="259" w:hanging="173"/>
      </w:pPr>
      <w:r>
        <w:rPr>
          <w:sz w:val="18"/>
        </w:rPr>
        <w:t>• No user can silently erase audit history.</w:t>
      </w:r>
    </w:p>
    <w:p>
      <w:pPr>
        <w:pStyle w:val="Heading2"/>
      </w:pPr>
      <w:r>
        <w:t>5.18 GAP-18 — Legacy runtime-path removal</w:t>
      </w:r>
    </w:p>
    <w:p>
      <w:r>
        <w:rPr>
          <w:b/>
        </w:rPr>
        <w:t xml:space="preserve">Gap. </w:t>
      </w:r>
      <w:r>
        <w:t>Project status says old Supabase web helpers are dead code, but OCR still references Supabase and web Header still has MOCK_SITES; these must be eliminated or explicitly retained.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No new business tables; verify migration ownership and remove obsolete artifacts only after dependency scan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No new business endpoint</w:t>
              <w:br/>
              <w:t>• Add /api/health/dependencies or equivalent for runtime checks if useful</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Remove MOCK_SITES</w:t>
              <w:br/>
              <w:t>• Remove dead Supabase imports/files</w:t>
              <w:br/>
              <w:t>• Ensure Header site switcher uses real API data</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Remove demo user/bypass</w:t>
              <w:br/>
              <w:t>• Remove environment assumptions not used by target architecture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No change; this is architectural hygiene</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Static scan for Supabase imports in web/mobile</w:t>
              <w:br/>
              <w:t>• Static scan for MOCK_* runtime constants</w:t>
              <w:br/>
              <w:t>• Release build fails on forbidden legacy import if lint rule implemented</w:t>
              <w:br/>
              <w:t>• Smoke test site switcher against real API</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GAP-13 and OCR architecture decision</w:t>
            </w:r>
          </w:p>
        </w:tc>
      </w:tr>
    </w:tbl>
    <w:p>
      <w:pPr>
        <w:spacing w:after="40"/>
      </w:pPr>
    </w:p>
    <w:p>
      <w:r>
        <w:rPr>
          <w:b/>
        </w:rPr>
        <w:t>Acceptance criteria</w:t>
      </w:r>
    </w:p>
    <w:p>
      <w:pPr>
        <w:spacing w:after="40"/>
        <w:ind w:left="259" w:hanging="173"/>
      </w:pPr>
      <w:r>
        <w:rPr>
          <w:sz w:val="18"/>
        </w:rPr>
        <w:t>• No dead runtime path remains without an explicit documented reason.</w:t>
      </w:r>
    </w:p>
    <w:p>
      <w:pPr>
        <w:pStyle w:val="Heading2"/>
      </w:pPr>
      <w:r>
        <w:t>5.19 GAP-19 — Staging, production, observability, backup &amp; release</w:t>
      </w:r>
    </w:p>
    <w:p>
      <w:r>
        <w:rPr>
          <w:b/>
        </w:rPr>
        <w:t xml:space="preserve">Gap. </w:t>
      </w:r>
      <w:r>
        <w:t>Local development is verified; deployment is not started.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Production DB + migration history</w:t>
              <w:br/>
              <w:t>• Backup metadata outside app DB where appropriate</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 /api/health</w:t>
              <w:br/>
              <w:t>• GET /api/ready</w:t>
              <w:br/>
              <w:t>• GET /api/version</w:t>
              <w:br/>
              <w:t>• GET /api/metrics (internal/authenticated or sidecar depending deployment)</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/admin/system-status (optional)</w:t>
              <w:br/>
              <w:t>• Deployment/version indicator</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Environment/version display in settings</w:t>
              <w:br/>
              <w:t>• Forced update/maintenance message if needed</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Operational endpoints not publicly expose secrets</w:t>
              <w:br/>
              <w:t>• Deployment admin separated from business roles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Staging migration rehearsal</w:t>
              <w:br/>
              <w:t>• Backup restore test</w:t>
              <w:br/>
              <w:t>• Health/readiness smoke test</w:t>
              <w:br/>
              <w:t>• Log redaction test</w:t>
              <w:br/>
              <w:t>• Secret injection test</w:t>
              <w:br/>
              <w:t>• Rollback test</w:t>
              <w:br/>
              <w:t>• Production-like E2E smoke test</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All features</w:t>
            </w:r>
          </w:p>
        </w:tc>
      </w:tr>
    </w:tbl>
    <w:p>
      <w:pPr>
        <w:spacing w:after="40"/>
      </w:pPr>
    </w:p>
    <w:p>
      <w:r>
        <w:rPr>
          <w:b/>
        </w:rPr>
        <w:t>Acceptance criteria</w:t>
      </w:r>
    </w:p>
    <w:p>
      <w:pPr>
        <w:spacing w:after="40"/>
        <w:ind w:left="259" w:hanging="173"/>
      </w:pPr>
      <w:r>
        <w:rPr>
          <w:sz w:val="18"/>
        </w:rPr>
        <w:t>• Staging mirrors production architecture sufficiently for release testing.</w:t>
      </w:r>
    </w:p>
    <w:p>
      <w:pPr>
        <w:spacing w:after="40"/>
        <w:ind w:left="259" w:hanging="173"/>
      </w:pPr>
      <w:r>
        <w:rPr>
          <w:sz w:val="18"/>
        </w:rPr>
        <w:t>• Backup restore is proven, not just configured.</w:t>
      </w:r>
    </w:p>
    <w:p>
      <w:pPr>
        <w:spacing w:after="40"/>
        <w:ind w:left="259" w:hanging="173"/>
      </w:pPr>
      <w:r>
        <w:rPr>
          <w:sz w:val="18"/>
        </w:rPr>
        <w:t>• Each deployment has a traceable version.</w:t>
      </w:r>
    </w:p>
    <w:p>
      <w:pPr>
        <w:pStyle w:val="Heading2"/>
      </w:pPr>
      <w:r>
        <w:t>5.20 GAP-20 — Full end-to-end verification &amp; UAT</w:t>
      </w:r>
    </w:p>
    <w:p>
      <w:r>
        <w:rPr>
          <w:b/>
        </w:rPr>
        <w:t xml:space="preserve">Gap. </w:t>
      </w:r>
      <w:r>
        <w:t>Unit/backend tests are green, but the full HIIEKO business flow across roles/devices is not yet verified.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Test fixtures/seeds for company → project → site → users → materials → expenses → handover</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Automated smoke suite covering auth and all critical domain endpoints</w:t>
              <w:br/>
              <w:t>• Contract tests for web/mobile API clients</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Role-based UAT checklist across all web routes</w:t>
              <w:br/>
              <w:t>• Error/loading/empty states</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UAT on real Android/iOS devices if supported</w:t>
              <w:br/>
              <w:t>• Offline/online transition tests</w:t>
              <w:br/>
              <w:t>• Camera/receipt flow</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Test every role and scope boundary</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Commercial handover→PM</w:t>
              <w:br/>
              <w:t>• PM plan→SM execution→Foreman assignment→worker evidence</w:t>
              <w:br/>
              <w:t>• Material request→PO→delivery→stock</w:t>
              <w:br/>
              <w:t>• Expense→OCR→approval→payment</w:t>
              <w:br/>
              <w:t>• HSE incident→escalation→closure</w:t>
              <w:br/>
              <w:t>• RFI→approval→field instruction</w:t>
              <w:br/>
              <w:t>• EPC handover→O&amp;M asset→maintenance</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All preceding gaps</w:t>
            </w:r>
          </w:p>
        </w:tc>
      </w:tr>
    </w:tbl>
    <w:p>
      <w:pPr>
        <w:spacing w:after="40"/>
      </w:pPr>
    </w:p>
    <w:p>
      <w:r>
        <w:rPr>
          <w:b/>
        </w:rPr>
        <w:t>Acceptance criteria</w:t>
      </w:r>
    </w:p>
    <w:p>
      <w:pPr>
        <w:spacing w:after="40"/>
        <w:ind w:left="259" w:hanging="173"/>
      </w:pPr>
      <w:r>
        <w:rPr>
          <w:sz w:val="18"/>
        </w:rPr>
        <w:t>• All critical journeys pass with real PostgreSQL data, not mock/fallback data.</w:t>
      </w:r>
    </w:p>
    <w:p>
      <w:pPr>
        <w:spacing w:after="40"/>
        <w:ind w:left="259" w:hanging="173"/>
      </w:pPr>
      <w:r>
        <w:rPr>
          <w:sz w:val="18"/>
        </w:rPr>
        <w:t>• Evidence includes API, UI and mobile flows.</w:t>
      </w:r>
    </w:p>
    <w:p>
      <w:pPr>
        <w:pStyle w:val="Heading2"/>
      </w:pPr>
      <w:r>
        <w:t>5.21 GAP-21 — Commercial → Project formal handover</w:t>
      </w:r>
    </w:p>
    <w:p>
      <w:r>
        <w:rPr>
          <w:b/>
        </w:rPr>
        <w:t xml:space="preserve">Gap. </w:t>
      </w:r>
      <w:r>
        <w:t>The organization defines a mandatory signed handover after award, but the application does not yet describe it as a formal data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vAlign w:val="top"/>
            <w:shd w:fill="17365D"/>
          </w:tcPr>
          <w:p>
            <w:pPr>
              <w:spacing w:after="0"/>
            </w:pPr>
            <w:r/>
            <w:r>
              <w:rPr>
                <w:rFonts w:ascii="Arial" w:hAnsi="Arial"/>
                <w:b/>
                <w:color w:val="FFFFFF"/>
                <w:sz w:val="15"/>
              </w:rPr>
              <w:t>Layer</w:t>
            </w:r>
          </w:p>
        </w:tc>
        <w:tc>
          <w:tcPr>
            <w:tcW w:type="dxa" w:w="8496"/>
            <w:vAlign w:val="top"/>
            <w:shd w:fill="17365D"/>
          </w:tcPr>
          <w:p>
            <w:pPr>
              <w:spacing w:after="0"/>
            </w:pPr>
            <w:r/>
            <w:r>
              <w:rPr>
                <w:rFonts w:ascii="Arial" w:hAnsi="Arial"/>
                <w:b/>
                <w:color w:val="FFFFFF"/>
                <w:sz w:val="15"/>
              </w:rPr>
              <w:t>Build specification</w:t>
            </w:r>
          </w:p>
        </w:tc>
      </w:tr>
      <w:tr>
        <w:tc>
          <w:tcPr>
            <w:tcW w:type="dxa" w:w="1944"/>
            <w:vAlign w:val="top"/>
            <w:shd w:fill="FFFFFF"/>
          </w:tcPr>
          <w:p>
            <w:pPr>
              <w:spacing w:after="0"/>
            </w:pPr>
            <w:r/>
            <w:r>
              <w:rPr>
                <w:rFonts w:ascii="Arial" w:hAnsi="Arial"/>
                <w:b w:val="0"/>
                <w:color w:val="404040"/>
                <w:sz w:val="15"/>
              </w:rPr>
              <w:t>Database / Prisma</w:t>
            </w:r>
          </w:p>
        </w:tc>
        <w:tc>
          <w:tcPr>
            <w:tcW w:type="dxa" w:w="8496"/>
            <w:vAlign w:val="top"/>
            <w:shd w:fill="FFFFFF"/>
          </w:tcPr>
          <w:p>
            <w:pPr>
              <w:spacing w:after="0"/>
            </w:pPr>
            <w:r/>
            <w:r>
              <w:rPr>
                <w:rFonts w:ascii="Arial" w:hAnsi="Arial"/>
                <w:b w:val="0"/>
                <w:color w:val="404040"/>
                <w:sz w:val="15"/>
              </w:rPr>
              <w:t>• Opportunity</w:t>
              <w:br/>
              <w:t>• TenderSubmission</w:t>
              <w:br/>
              <w:t>• CommercialHandover</w:t>
              <w:br/>
              <w:t>• HandoverChecklist</w:t>
              <w:br/>
              <w:t>• ClientCommitment</w:t>
              <w:br/>
              <w:t>• TenderRisk</w:t>
              <w:br/>
              <w:t>• MarginAssumption</w:t>
            </w:r>
          </w:p>
        </w:tc>
      </w:tr>
      <w:tr>
        <w:tc>
          <w:tcPr>
            <w:tcW w:type="dxa" w:w="1944"/>
            <w:vAlign w:val="top"/>
            <w:shd w:fill="F2F2F2"/>
          </w:tcPr>
          <w:p>
            <w:pPr>
              <w:spacing w:after="0"/>
            </w:pPr>
            <w:r/>
            <w:r>
              <w:rPr>
                <w:rFonts w:ascii="Arial" w:hAnsi="Arial"/>
                <w:b w:val="0"/>
                <w:color w:val="404040"/>
                <w:sz w:val="15"/>
              </w:rPr>
              <w:t>API / NestJS</w:t>
            </w:r>
          </w:p>
        </w:tc>
        <w:tc>
          <w:tcPr>
            <w:tcW w:type="dxa" w:w="8496"/>
            <w:vAlign w:val="top"/>
            <w:shd w:fill="F2F2F2"/>
          </w:tcPr>
          <w:p>
            <w:pPr>
              <w:spacing w:after="0"/>
            </w:pPr>
            <w:r/>
            <w:r>
              <w:rPr>
                <w:rFonts w:ascii="Arial" w:hAnsi="Arial"/>
                <w:b w:val="0"/>
                <w:color w:val="404040"/>
                <w:sz w:val="15"/>
              </w:rPr>
              <w:t>• GET/POST /api/commercial/opportunities</w:t>
              <w:br/>
              <w:t>• POST /api/commercial/handover</w:t>
              <w:br/>
              <w:t>• POST /api/commercial/handover/:id/accept</w:t>
              <w:br/>
              <w:t>• GET /api/commercial/handover/:id/checklist</w:t>
            </w:r>
          </w:p>
        </w:tc>
      </w:tr>
      <w:tr>
        <w:tc>
          <w:tcPr>
            <w:tcW w:type="dxa" w:w="1944"/>
            <w:vAlign w:val="top"/>
            <w:shd w:fill="FFFFFF"/>
          </w:tcPr>
          <w:p>
            <w:pPr>
              <w:spacing w:after="0"/>
            </w:pPr>
            <w:r/>
            <w:r>
              <w:rPr>
                <w:rFonts w:ascii="Arial" w:hAnsi="Arial"/>
                <w:b w:val="0"/>
                <w:color w:val="404040"/>
                <w:sz w:val="15"/>
              </w:rPr>
              <w:t>Web / Next.js</w:t>
            </w:r>
          </w:p>
        </w:tc>
        <w:tc>
          <w:tcPr>
            <w:tcW w:type="dxa" w:w="8496"/>
            <w:vAlign w:val="top"/>
            <w:shd w:fill="FFFFFF"/>
          </w:tcPr>
          <w:p>
            <w:pPr>
              <w:spacing w:after="0"/>
            </w:pPr>
            <w:r/>
            <w:r>
              <w:rPr>
                <w:rFonts w:ascii="Arial" w:hAnsi="Arial"/>
                <w:b w:val="0"/>
                <w:color w:val="404040"/>
                <w:sz w:val="15"/>
              </w:rPr>
              <w:t>• /comercial/oportunitati</w:t>
              <w:br/>
              <w:t>• /comercial/tendere</w:t>
              <w:br/>
              <w:t>• /comercial/handover</w:t>
              <w:br/>
              <w:t>• Project creation → handover checklist</w:t>
            </w:r>
          </w:p>
        </w:tc>
      </w:tr>
      <w:tr>
        <w:tc>
          <w:tcPr>
            <w:tcW w:type="dxa" w:w="1944"/>
            <w:vAlign w:val="top"/>
            <w:shd w:fill="F2F2F2"/>
          </w:tcPr>
          <w:p>
            <w:pPr>
              <w:spacing w:after="0"/>
            </w:pPr>
            <w:r/>
            <w:r>
              <w:rPr>
                <w:rFonts w:ascii="Arial" w:hAnsi="Arial"/>
                <w:b w:val="0"/>
                <w:color w:val="404040"/>
                <w:sz w:val="15"/>
              </w:rPr>
              <w:t>Mobile / Expo</w:t>
            </w:r>
          </w:p>
        </w:tc>
        <w:tc>
          <w:tcPr>
            <w:tcW w:type="dxa" w:w="8496"/>
            <w:vAlign w:val="top"/>
            <w:shd w:fill="F2F2F2"/>
          </w:tcPr>
          <w:p>
            <w:pPr>
              <w:spacing w:after="0"/>
            </w:pPr>
            <w:r/>
            <w:r>
              <w:rPr>
                <w:rFonts w:ascii="Arial" w:hAnsi="Arial"/>
                <w:b w:val="0"/>
                <w:color w:val="404040"/>
                <w:sz w:val="15"/>
              </w:rPr>
              <w:t>• Not required for first release</w:t>
            </w:r>
          </w:p>
        </w:tc>
      </w:tr>
      <w:tr>
        <w:tc>
          <w:tcPr>
            <w:tcW w:type="dxa" w:w="1944"/>
            <w:vAlign w:val="top"/>
            <w:shd w:fill="FFFFFF"/>
          </w:tcPr>
          <w:p>
            <w:pPr>
              <w:spacing w:after="0"/>
            </w:pPr>
            <w:r/>
            <w:r>
              <w:rPr>
                <w:rFonts w:ascii="Arial" w:hAnsi="Arial"/>
                <w:b w:val="0"/>
                <w:color w:val="404040"/>
                <w:sz w:val="15"/>
              </w:rPr>
              <w:t>Permissions</w:t>
            </w:r>
          </w:p>
        </w:tc>
        <w:tc>
          <w:tcPr>
            <w:tcW w:type="dxa" w:w="8496"/>
            <w:vAlign w:val="top"/>
            <w:shd w:fill="FFFFFF"/>
          </w:tcPr>
          <w:p>
            <w:pPr>
              <w:spacing w:after="0"/>
            </w:pPr>
            <w:r/>
            <w:r>
              <w:rPr>
                <w:rFonts w:ascii="Arial" w:hAnsi="Arial"/>
                <w:b w:val="0"/>
                <w:color w:val="404040"/>
                <w:sz w:val="15"/>
              </w:rPr>
              <w:t>• Commercial prepares</w:t>
              <w:br/>
              <w:t>• PM accepts operational ownership</w:t>
              <w:br/>
              <w:t>• TD/MD visibility as configured</w:t>
              <w:br/>
              <w:t>• No site execution records until handover prerequisites are met if policy requires</w:t>
            </w:r>
          </w:p>
        </w:tc>
      </w:tr>
      <w:tr>
        <w:tc>
          <w:tcPr>
            <w:tcW w:type="dxa" w:w="1944"/>
            <w:vAlign w:val="top"/>
            <w:shd w:fill="F2F2F2"/>
          </w:tcPr>
          <w:p>
            <w:pPr>
              <w:spacing w:after="0"/>
            </w:pPr>
            <w:r/>
            <w:r>
              <w:rPr>
                <w:rFonts w:ascii="Arial" w:hAnsi="Arial"/>
                <w:b w:val="0"/>
                <w:color w:val="404040"/>
                <w:sz w:val="15"/>
              </w:rPr>
              <w:t>Tests</w:t>
            </w:r>
          </w:p>
        </w:tc>
        <w:tc>
          <w:tcPr>
            <w:tcW w:type="dxa" w:w="8496"/>
            <w:vAlign w:val="top"/>
            <w:shd w:fill="F2F2F2"/>
          </w:tcPr>
          <w:p>
            <w:pPr>
              <w:spacing w:after="0"/>
            </w:pPr>
            <w:r/>
            <w:r>
              <w:rPr>
                <w:rFonts w:ascii="Arial" w:hAnsi="Arial"/>
                <w:b w:val="0"/>
                <w:color w:val="404040"/>
                <w:sz w:val="15"/>
              </w:rPr>
              <w:t>• Mandatory handover fields enforced</w:t>
              <w:br/>
              <w:t>• Accepted handover creates project ownership record</w:t>
              <w:br/>
              <w:t>• Tender assumptions retained</w:t>
              <w:br/>
              <w:t>• Scope/exclusions visible to PM</w:t>
              <w:br/>
              <w:t>• Handover cannot be silently overwritten</w:t>
            </w:r>
          </w:p>
        </w:tc>
      </w:tr>
      <w:tr>
        <w:tc>
          <w:tcPr>
            <w:tcW w:type="dxa" w:w="1944"/>
            <w:vAlign w:val="top"/>
            <w:shd w:fill="FFFFFF"/>
          </w:tcPr>
          <w:p>
            <w:pPr>
              <w:spacing w:after="0"/>
            </w:pPr>
            <w:r/>
            <w:r>
              <w:rPr>
                <w:rFonts w:ascii="Arial" w:hAnsi="Arial"/>
                <w:b w:val="0"/>
                <w:color w:val="404040"/>
                <w:sz w:val="15"/>
              </w:rPr>
              <w:t>Dependencies</w:t>
            </w:r>
          </w:p>
        </w:tc>
        <w:tc>
          <w:tcPr>
            <w:tcW w:type="dxa" w:w="8496"/>
            <w:vAlign w:val="top"/>
            <w:shd w:fill="FFFFFF"/>
          </w:tcPr>
          <w:p>
            <w:pPr>
              <w:spacing w:after="0"/>
            </w:pPr>
            <w:r/>
            <w:r>
              <w:rPr>
                <w:rFonts w:ascii="Arial" w:hAnsi="Arial"/>
                <w:b w:val="0"/>
                <w:color w:val="404040"/>
                <w:sz w:val="15"/>
              </w:rPr>
              <w:t>GAP-01, GAP-03, GAP-09</w:t>
            </w:r>
          </w:p>
        </w:tc>
      </w:tr>
    </w:tbl>
    <w:p>
      <w:pPr>
        <w:spacing w:after="40"/>
      </w:pPr>
    </w:p>
    <w:p>
      <w:r>
        <w:rPr>
          <w:b/>
        </w:rPr>
        <w:t>Acceptance criteria</w:t>
      </w:r>
    </w:p>
    <w:p>
      <w:pPr>
        <w:spacing w:after="40"/>
        <w:ind w:left="259" w:hanging="173"/>
      </w:pPr>
      <w:r>
        <w:rPr>
          <w:sz w:val="18"/>
        </w:rPr>
        <w:t>• A project cannot be considered formally transferred without the configured handover checklist/acceptance.</w:t>
      </w:r>
    </w:p>
    <w:p>
      <w:pPr>
        <w:pStyle w:val="Heading1"/>
      </w:pPr>
      <w:r>
        <w:t>6. Cross-cutting technical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17365D"/>
          </w:tcPr>
          <w:p>
            <w:pPr>
              <w:spacing w:after="0"/>
            </w:pPr>
            <w:r/>
            <w:r>
              <w:rPr>
                <w:rFonts w:ascii="Arial" w:hAnsi="Arial"/>
                <w:b/>
                <w:color w:val="FFFFFF"/>
                <w:sz w:val="15"/>
              </w:rPr>
              <w:t>Concern</w:t>
            </w:r>
          </w:p>
        </w:tc>
        <w:tc>
          <w:tcPr>
            <w:tcW w:type="dxa" w:w="5112"/>
            <w:vAlign w:val="top"/>
            <w:shd w:fill="17365D"/>
          </w:tcPr>
          <w:p>
            <w:pPr>
              <w:spacing w:after="0"/>
            </w:pPr>
            <w:r/>
            <w:r>
              <w:rPr>
                <w:rFonts w:ascii="Arial" w:hAnsi="Arial"/>
                <w:b/>
                <w:color w:val="FFFFFF"/>
                <w:sz w:val="15"/>
              </w:rPr>
              <w:t>Required implementation rule</w:t>
            </w:r>
          </w:p>
        </w:tc>
      </w:tr>
      <w:tr>
        <w:tc>
          <w:tcPr>
            <w:tcW w:type="dxa" w:w="5112"/>
            <w:vAlign w:val="top"/>
            <w:shd w:fill="FFFFFF"/>
          </w:tcPr>
          <w:p>
            <w:pPr>
              <w:spacing w:after="0"/>
            </w:pPr>
            <w:r/>
            <w:r>
              <w:rPr>
                <w:rFonts w:ascii="Arial" w:hAnsi="Arial"/>
                <w:b w:val="0"/>
                <w:color w:val="404040"/>
                <w:sz w:val="15"/>
              </w:rPr>
              <w:t>Authorization</w:t>
            </w:r>
          </w:p>
        </w:tc>
        <w:tc>
          <w:tcPr>
            <w:tcW w:type="dxa" w:w="5112"/>
            <w:vAlign w:val="top"/>
            <w:shd w:fill="FFFFFF"/>
          </w:tcPr>
          <w:p>
            <w:pPr>
              <w:spacing w:after="0"/>
            </w:pPr>
            <w:r/>
            <w:r>
              <w:rPr>
                <w:rFonts w:ascii="Arial" w:hAnsi="Arial"/>
                <w:b w:val="0"/>
                <w:color w:val="404040"/>
                <w:sz w:val="15"/>
              </w:rPr>
              <w:t>Authorization must be enforced in NestJS for API access; role/scope checks must be server-side and not rely on UI hiding.</w:t>
            </w:r>
          </w:p>
        </w:tc>
      </w:tr>
      <w:tr>
        <w:tc>
          <w:tcPr>
            <w:tcW w:type="dxa" w:w="5112"/>
            <w:vAlign w:val="top"/>
            <w:shd w:fill="F2F2F2"/>
          </w:tcPr>
          <w:p>
            <w:pPr>
              <w:spacing w:after="0"/>
            </w:pPr>
            <w:r/>
            <w:r>
              <w:rPr>
                <w:rFonts w:ascii="Arial" w:hAnsi="Arial"/>
                <w:b w:val="0"/>
                <w:color w:val="404040"/>
                <w:sz w:val="15"/>
              </w:rPr>
              <w:t>Transactions</w:t>
            </w:r>
          </w:p>
        </w:tc>
        <w:tc>
          <w:tcPr>
            <w:tcW w:type="dxa" w:w="5112"/>
            <w:vAlign w:val="top"/>
            <w:shd w:fill="F2F2F2"/>
          </w:tcPr>
          <w:p>
            <w:pPr>
              <w:spacing w:after="0"/>
            </w:pPr>
            <w:r/>
            <w:r>
              <w:rPr>
                <w:rFonts w:ascii="Arial" w:hAnsi="Arial"/>
                <w:b w:val="0"/>
                <w:color w:val="404040"/>
                <w:sz w:val="15"/>
              </w:rPr>
              <w:t>Stock, finance and approval transitions that update multiple records must use database transactions.</w:t>
            </w:r>
          </w:p>
        </w:tc>
      </w:tr>
      <w:tr>
        <w:tc>
          <w:tcPr>
            <w:tcW w:type="dxa" w:w="5112"/>
            <w:vAlign w:val="top"/>
            <w:shd w:fill="FFFFFF"/>
          </w:tcPr>
          <w:p>
            <w:pPr>
              <w:spacing w:after="0"/>
            </w:pPr>
            <w:r/>
            <w:r>
              <w:rPr>
                <w:rFonts w:ascii="Arial" w:hAnsi="Arial"/>
                <w:b w:val="0"/>
                <w:color w:val="404040"/>
                <w:sz w:val="15"/>
              </w:rPr>
              <w:t>Idempotency</w:t>
            </w:r>
          </w:p>
        </w:tc>
        <w:tc>
          <w:tcPr>
            <w:tcW w:type="dxa" w:w="5112"/>
            <w:vAlign w:val="top"/>
            <w:shd w:fill="FFFFFF"/>
          </w:tcPr>
          <w:p>
            <w:pPr>
              <w:spacing w:after="0"/>
            </w:pPr>
            <w:r/>
            <w:r>
              <w:rPr>
                <w:rFonts w:ascii="Arial" w:hAnsi="Arial"/>
                <w:b w:val="0"/>
                <w:color w:val="404040"/>
                <w:sz w:val="15"/>
              </w:rPr>
              <w:t>Mobile sync, OCR submission, payment actions and receipt creation must tolerate retries without duplicates.</w:t>
            </w:r>
          </w:p>
        </w:tc>
      </w:tr>
      <w:tr>
        <w:tc>
          <w:tcPr>
            <w:tcW w:type="dxa" w:w="5112"/>
            <w:vAlign w:val="top"/>
            <w:shd w:fill="F2F2F2"/>
          </w:tcPr>
          <w:p>
            <w:pPr>
              <w:spacing w:after="0"/>
            </w:pPr>
            <w:r/>
            <w:r>
              <w:rPr>
                <w:rFonts w:ascii="Arial" w:hAnsi="Arial"/>
                <w:b w:val="0"/>
                <w:color w:val="404040"/>
                <w:sz w:val="15"/>
              </w:rPr>
              <w:t>Concurrency</w:t>
            </w:r>
          </w:p>
        </w:tc>
        <w:tc>
          <w:tcPr>
            <w:tcW w:type="dxa" w:w="5112"/>
            <w:vAlign w:val="top"/>
            <w:shd w:fill="F2F2F2"/>
          </w:tcPr>
          <w:p>
            <w:pPr>
              <w:spacing w:after="0"/>
            </w:pPr>
            <w:r/>
            <w:r>
              <w:rPr>
                <w:rFonts w:ascii="Arial" w:hAnsi="Arial"/>
                <w:b w:val="0"/>
                <w:color w:val="404040"/>
                <w:sz w:val="15"/>
              </w:rPr>
              <w:t>Stock and approval operations must remain correct under concurrent requests.</w:t>
            </w:r>
          </w:p>
        </w:tc>
      </w:tr>
      <w:tr>
        <w:tc>
          <w:tcPr>
            <w:tcW w:type="dxa" w:w="5112"/>
            <w:vAlign w:val="top"/>
            <w:shd w:fill="FFFFFF"/>
          </w:tcPr>
          <w:p>
            <w:pPr>
              <w:spacing w:after="0"/>
            </w:pPr>
            <w:r/>
            <w:r>
              <w:rPr>
                <w:rFonts w:ascii="Arial" w:hAnsi="Arial"/>
                <w:b w:val="0"/>
                <w:color w:val="404040"/>
                <w:sz w:val="15"/>
              </w:rPr>
              <w:t>Audit</w:t>
            </w:r>
          </w:p>
        </w:tc>
        <w:tc>
          <w:tcPr>
            <w:tcW w:type="dxa" w:w="5112"/>
            <w:vAlign w:val="top"/>
            <w:shd w:fill="FFFFFF"/>
          </w:tcPr>
          <w:p>
            <w:pPr>
              <w:spacing w:after="0"/>
            </w:pPr>
            <w:r/>
            <w:r>
              <w:rPr>
                <w:rFonts w:ascii="Arial" w:hAnsi="Arial"/>
                <w:b w:val="0"/>
                <w:color w:val="404040"/>
                <w:sz w:val="15"/>
              </w:rPr>
              <w:t>High-risk state changes must write actor, timestamp, object, action and relevant before/after data.</w:t>
            </w:r>
          </w:p>
        </w:tc>
      </w:tr>
      <w:tr>
        <w:tc>
          <w:tcPr>
            <w:tcW w:type="dxa" w:w="5112"/>
            <w:vAlign w:val="top"/>
            <w:shd w:fill="F2F2F2"/>
          </w:tcPr>
          <w:p>
            <w:pPr>
              <w:spacing w:after="0"/>
            </w:pPr>
            <w:r/>
            <w:r>
              <w:rPr>
                <w:rFonts w:ascii="Arial" w:hAnsi="Arial"/>
                <w:b w:val="0"/>
                <w:color w:val="404040"/>
                <w:sz w:val="15"/>
              </w:rPr>
              <w:t>Files</w:t>
            </w:r>
          </w:p>
        </w:tc>
        <w:tc>
          <w:tcPr>
            <w:tcW w:type="dxa" w:w="5112"/>
            <w:vAlign w:val="top"/>
            <w:shd w:fill="F2F2F2"/>
          </w:tcPr>
          <w:p>
            <w:pPr>
              <w:spacing w:after="0"/>
            </w:pPr>
            <w:r/>
            <w:r>
              <w:rPr>
                <w:rFonts w:ascii="Arial" w:hAnsi="Arial"/>
                <w:b w:val="0"/>
                <w:color w:val="404040"/>
                <w:sz w:val="15"/>
              </w:rPr>
              <w:t>All private documents must use controlled access, scoped metadata and audit-safe download paths.</w:t>
            </w:r>
          </w:p>
        </w:tc>
      </w:tr>
      <w:tr>
        <w:tc>
          <w:tcPr>
            <w:tcW w:type="dxa" w:w="5112"/>
            <w:vAlign w:val="top"/>
            <w:shd w:fill="FFFFFF"/>
          </w:tcPr>
          <w:p>
            <w:pPr>
              <w:spacing w:after="0"/>
            </w:pPr>
            <w:r/>
            <w:r>
              <w:rPr>
                <w:rFonts w:ascii="Arial" w:hAnsi="Arial"/>
                <w:b w:val="0"/>
                <w:color w:val="404040"/>
                <w:sz w:val="15"/>
              </w:rPr>
              <w:t>Validation</w:t>
            </w:r>
          </w:p>
        </w:tc>
        <w:tc>
          <w:tcPr>
            <w:tcW w:type="dxa" w:w="5112"/>
            <w:vAlign w:val="top"/>
            <w:shd w:fill="FFFFFF"/>
          </w:tcPr>
          <w:p>
            <w:pPr>
              <w:spacing w:after="0"/>
            </w:pPr>
            <w:r/>
            <w:r>
              <w:rPr>
                <w:rFonts w:ascii="Arial" w:hAnsi="Arial"/>
                <w:b w:val="0"/>
                <w:color w:val="404040"/>
                <w:sz w:val="15"/>
              </w:rPr>
              <w:t>DTO validation at API boundary + domain validation before mutation + database constraints for invariants.</w:t>
            </w:r>
          </w:p>
        </w:tc>
      </w:tr>
      <w:tr>
        <w:tc>
          <w:tcPr>
            <w:tcW w:type="dxa" w:w="5112"/>
            <w:vAlign w:val="top"/>
            <w:shd w:fill="F2F2F2"/>
          </w:tcPr>
          <w:p>
            <w:pPr>
              <w:spacing w:after="0"/>
            </w:pPr>
            <w:r/>
            <w:r>
              <w:rPr>
                <w:rFonts w:ascii="Arial" w:hAnsi="Arial"/>
                <w:b w:val="0"/>
                <w:color w:val="404040"/>
                <w:sz w:val="15"/>
              </w:rPr>
              <w:t>Localization</w:t>
            </w:r>
          </w:p>
        </w:tc>
        <w:tc>
          <w:tcPr>
            <w:tcW w:type="dxa" w:w="5112"/>
            <w:vAlign w:val="top"/>
            <w:shd w:fill="F2F2F2"/>
          </w:tcPr>
          <w:p>
            <w:pPr>
              <w:spacing w:after="0"/>
            </w:pPr>
            <w:r/>
            <w:r>
              <w:rPr>
                <w:rFonts w:ascii="Arial" w:hAnsi="Arial"/>
                <w:b w:val="0"/>
                <w:color w:val="404040"/>
                <w:sz w:val="15"/>
              </w:rPr>
              <w:t>Romanian-first UI with existing ro/en i18n; new features must use translation keys, not hard-coded Romanian/English strings.</w:t>
            </w:r>
          </w:p>
        </w:tc>
      </w:tr>
      <w:tr>
        <w:tc>
          <w:tcPr>
            <w:tcW w:type="dxa" w:w="5112"/>
            <w:vAlign w:val="top"/>
            <w:shd w:fill="FFFFFF"/>
          </w:tcPr>
          <w:p>
            <w:pPr>
              <w:spacing w:after="0"/>
            </w:pPr>
            <w:r/>
            <w:r>
              <w:rPr>
                <w:rFonts w:ascii="Arial" w:hAnsi="Arial"/>
                <w:b w:val="0"/>
                <w:color w:val="404040"/>
                <w:sz w:val="15"/>
              </w:rPr>
              <w:t>Observability</w:t>
            </w:r>
          </w:p>
        </w:tc>
        <w:tc>
          <w:tcPr>
            <w:tcW w:type="dxa" w:w="5112"/>
            <w:vAlign w:val="top"/>
            <w:shd w:fill="FFFFFF"/>
          </w:tcPr>
          <w:p>
            <w:pPr>
              <w:spacing w:after="0"/>
            </w:pPr>
            <w:r/>
            <w:r>
              <w:rPr>
                <w:rFonts w:ascii="Arial" w:hAnsi="Arial"/>
                <w:b w:val="0"/>
                <w:color w:val="404040"/>
                <w:sz w:val="15"/>
              </w:rPr>
              <w:t>Structured logs must include correlation/request ID, user ID where safe, project/site context, operation and error class.</w:t>
            </w:r>
          </w:p>
        </w:tc>
      </w:tr>
      <w:tr>
        <w:tc>
          <w:tcPr>
            <w:tcW w:type="dxa" w:w="5112"/>
            <w:vAlign w:val="top"/>
            <w:shd w:fill="F2F2F2"/>
          </w:tcPr>
          <w:p>
            <w:pPr>
              <w:spacing w:after="0"/>
            </w:pPr>
            <w:r/>
            <w:r>
              <w:rPr>
                <w:rFonts w:ascii="Arial" w:hAnsi="Arial"/>
                <w:b w:val="0"/>
                <w:color w:val="404040"/>
                <w:sz w:val="15"/>
              </w:rPr>
              <w:t>Error UX</w:t>
            </w:r>
          </w:p>
        </w:tc>
        <w:tc>
          <w:tcPr>
            <w:tcW w:type="dxa" w:w="5112"/>
            <w:vAlign w:val="top"/>
            <w:shd w:fill="F2F2F2"/>
          </w:tcPr>
          <w:p>
            <w:pPr>
              <w:spacing w:after="0"/>
            </w:pPr>
            <w:r/>
            <w:r>
              <w:rPr>
                <w:rFonts w:ascii="Arial" w:hAnsi="Arial"/>
                <w:b w:val="0"/>
                <w:color w:val="404040"/>
                <w:sz w:val="15"/>
              </w:rPr>
              <w:t>Web/mobile must distinguish validation, permission, network/offline, conflict and server errors.</w:t>
            </w:r>
          </w:p>
        </w:tc>
      </w:tr>
      <w:tr>
        <w:tc>
          <w:tcPr>
            <w:tcW w:type="dxa" w:w="5112"/>
            <w:vAlign w:val="top"/>
            <w:shd w:fill="FFFFFF"/>
          </w:tcPr>
          <w:p>
            <w:pPr>
              <w:spacing w:after="0"/>
            </w:pPr>
            <w:r/>
            <w:r>
              <w:rPr>
                <w:rFonts w:ascii="Arial" w:hAnsi="Arial"/>
                <w:b w:val="0"/>
                <w:color w:val="404040"/>
                <w:sz w:val="15"/>
              </w:rPr>
              <w:t>Data retention</w:t>
            </w:r>
          </w:p>
        </w:tc>
        <w:tc>
          <w:tcPr>
            <w:tcW w:type="dxa" w:w="5112"/>
            <w:vAlign w:val="top"/>
            <w:shd w:fill="FFFFFF"/>
          </w:tcPr>
          <w:p>
            <w:pPr>
              <w:spacing w:after="0"/>
            </w:pPr>
            <w:r/>
            <w:r>
              <w:rPr>
                <w:rFonts w:ascii="Arial" w:hAnsi="Arial"/>
                <w:b w:val="0"/>
                <w:color w:val="404040"/>
                <w:sz w:val="15"/>
              </w:rPr>
              <w:t>Define retention rules for receipts, HSE incidents, audit logs and project documents before production; current supplied material does not specify legal retention periods.</w:t>
            </w:r>
          </w:p>
        </w:tc>
      </w:tr>
      <w:tr>
        <w:tc>
          <w:tcPr>
            <w:tcW w:type="dxa" w:w="5112"/>
            <w:vAlign w:val="top"/>
            <w:shd w:fill="F2F2F2"/>
          </w:tcPr>
          <w:p>
            <w:pPr>
              <w:spacing w:after="0"/>
            </w:pPr>
            <w:r/>
            <w:r>
              <w:rPr>
                <w:rFonts w:ascii="Arial" w:hAnsi="Arial"/>
                <w:b w:val="0"/>
                <w:color w:val="404040"/>
                <w:sz w:val="15"/>
              </w:rPr>
              <w:t>Privacy/security</w:t>
            </w:r>
          </w:p>
        </w:tc>
        <w:tc>
          <w:tcPr>
            <w:tcW w:type="dxa" w:w="5112"/>
            <w:vAlign w:val="top"/>
            <w:shd w:fill="F2F2F2"/>
          </w:tcPr>
          <w:p>
            <w:pPr>
              <w:spacing w:after="0"/>
            </w:pPr>
            <w:r/>
            <w:r>
              <w:rPr>
                <w:rFonts w:ascii="Arial" w:hAnsi="Arial"/>
                <w:b w:val="0"/>
                <w:color w:val="404040"/>
                <w:sz w:val="15"/>
              </w:rPr>
              <w:t>Do not put unnecessary personal data into notifications/logs; protect employee/site data; apply least privilege.</w:t>
            </w:r>
          </w:p>
        </w:tc>
      </w:tr>
    </w:tbl>
    <w:p>
      <w:pPr>
        <w:spacing w:after="40"/>
      </w:pPr>
    </w:p>
    <w:p>
      <w:pPr>
        <w:pStyle w:val="Heading1"/>
      </w:pPr>
      <w:r>
        <w:t>7. API and data conventions</w:t>
      </w:r>
    </w:p>
    <w:p>
      <w:pPr>
        <w:spacing w:after="40"/>
        <w:ind w:left="259" w:hanging="173"/>
      </w:pPr>
      <w:r>
        <w:rPr>
          <w:sz w:val="18"/>
        </w:rPr>
        <w:t>• Use resource-oriented endpoints under /api and preserve the existing NestJS Swagger documentation pattern.</w:t>
      </w:r>
    </w:p>
    <w:p>
      <w:pPr>
        <w:spacing w:after="40"/>
        <w:ind w:left="259" w:hanging="173"/>
      </w:pPr>
      <w:r>
        <w:rPr>
          <w:sz w:val="18"/>
        </w:rPr>
        <w:t>• Return stable identifiers and explicit status fields; avoid implicit status encoded only by nullability.</w:t>
      </w:r>
    </w:p>
    <w:p>
      <w:pPr>
        <w:spacing w:after="40"/>
        <w:ind w:left="259" w:hanging="173"/>
      </w:pPr>
      <w:r>
        <w:rPr>
          <w:sz w:val="18"/>
        </w:rPr>
        <w:t>• Prefer PATCH for controlled state changes and dedicated action endpoints for business transitions where audit semantics matter (e.g., approve, reject, receive, verify, handover).</w:t>
      </w:r>
    </w:p>
    <w:p>
      <w:pPr>
        <w:spacing w:after="40"/>
        <w:ind w:left="259" w:hanging="173"/>
      </w:pPr>
      <w:r>
        <w:rPr>
          <w:sz w:val="18"/>
        </w:rPr>
        <w:t>• Every mutation that can be retried from mobile should accept an idempotency key or an equivalent client mutation identifier.</w:t>
      </w:r>
    </w:p>
    <w:p>
      <w:pPr>
        <w:spacing w:after="40"/>
        <w:ind w:left="259" w:hanging="173"/>
      </w:pPr>
      <w:r>
        <w:rPr>
          <w:sz w:val="18"/>
        </w:rPr>
        <w:t>• Do not expose database internals directly in the API; map Prisma models to DTOs.</w:t>
      </w:r>
    </w:p>
    <w:p>
      <w:pPr>
        <w:spacing w:after="40"/>
        <w:ind w:left="259" w:hanging="173"/>
      </w:pPr>
      <w:r>
        <w:rPr>
          <w:sz w:val="18"/>
        </w:rPr>
        <w:t>• Treat proposed table names in this document as target concepts; reconcile against backend/prisma/schema.prisma before creating migrations.</w:t>
      </w:r>
    </w:p>
    <w:p>
      <w:pPr>
        <w:pStyle w:val="Heading1"/>
      </w:pPr>
      <w:r>
        <w:t>8. Target data-model blueprint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Domain</w:t>
            </w:r>
          </w:p>
        </w:tc>
        <w:tc>
          <w:tcPr>
            <w:tcW w:type="dxa" w:w="3408"/>
            <w:vAlign w:val="top"/>
            <w:shd w:fill="17365D"/>
          </w:tcPr>
          <w:p>
            <w:pPr>
              <w:spacing w:after="0"/>
            </w:pPr>
            <w:r/>
            <w:r>
              <w:rPr>
                <w:rFonts w:ascii="Arial" w:hAnsi="Arial"/>
                <w:b/>
                <w:color w:val="FFFFFF"/>
                <w:sz w:val="15"/>
              </w:rPr>
              <w:t>Core target entities</w:t>
            </w:r>
          </w:p>
        </w:tc>
        <w:tc>
          <w:tcPr>
            <w:tcW w:type="dxa" w:w="3408"/>
            <w:vAlign w:val="top"/>
            <w:shd w:fill="17365D"/>
          </w:tcPr>
          <w:p>
            <w:pPr>
              <w:spacing w:after="0"/>
            </w:pPr>
            <w:r/>
            <w:r>
              <w:rPr>
                <w:rFonts w:ascii="Arial" w:hAnsi="Arial"/>
                <w:b/>
                <w:color w:val="FFFFFF"/>
                <w:sz w:val="15"/>
              </w:rPr>
              <w:t>Key relationships</w:t>
            </w:r>
          </w:p>
        </w:tc>
      </w:tr>
      <w:tr>
        <w:tc>
          <w:tcPr>
            <w:tcW w:type="dxa" w:w="3408"/>
            <w:vAlign w:val="top"/>
            <w:shd w:fill="FFFFFF"/>
          </w:tcPr>
          <w:p>
            <w:pPr>
              <w:spacing w:after="0"/>
            </w:pPr>
            <w:r/>
            <w:r>
              <w:rPr>
                <w:rFonts w:ascii="Arial" w:hAnsi="Arial"/>
                <w:b w:val="0"/>
                <w:color w:val="404040"/>
                <w:sz w:val="15"/>
              </w:rPr>
              <w:t>Identity &amp; access</w:t>
            </w:r>
          </w:p>
        </w:tc>
        <w:tc>
          <w:tcPr>
            <w:tcW w:type="dxa" w:w="3408"/>
            <w:vAlign w:val="top"/>
            <w:shd w:fill="FFFFFF"/>
          </w:tcPr>
          <w:p>
            <w:pPr>
              <w:spacing w:after="0"/>
            </w:pPr>
            <w:r/>
            <w:r>
              <w:rPr>
                <w:rFonts w:ascii="Arial" w:hAnsi="Arial"/>
                <w:b w:val="0"/>
                <w:color w:val="404040"/>
                <w:sz w:val="15"/>
              </w:rPr>
              <w:t>User, UserProfile, Role, Permission, UserRole, ProjectMember, SiteMember, ApprovalRule, ExternalCollaboratorOwner</w:t>
            </w:r>
          </w:p>
        </w:tc>
        <w:tc>
          <w:tcPr>
            <w:tcW w:type="dxa" w:w="3408"/>
            <w:vAlign w:val="top"/>
            <w:shd w:fill="FFFFFF"/>
          </w:tcPr>
          <w:p>
            <w:pPr>
              <w:spacing w:after="0"/>
            </w:pPr>
            <w:r/>
            <w:r>
              <w:rPr>
                <w:rFonts w:ascii="Arial" w:hAnsi="Arial"/>
                <w:b w:val="0"/>
                <w:color w:val="404040"/>
                <w:sz w:val="15"/>
              </w:rPr>
              <w:t>User → roles; user → project/site membership; role → permissions</w:t>
            </w:r>
          </w:p>
        </w:tc>
      </w:tr>
      <w:tr>
        <w:tc>
          <w:tcPr>
            <w:tcW w:type="dxa" w:w="3408"/>
            <w:vAlign w:val="top"/>
            <w:shd w:fill="F2F2F2"/>
          </w:tcPr>
          <w:p>
            <w:pPr>
              <w:spacing w:after="0"/>
            </w:pPr>
            <w:r/>
            <w:r>
              <w:rPr>
                <w:rFonts w:ascii="Arial" w:hAnsi="Arial"/>
                <w:b w:val="0"/>
                <w:color w:val="404040"/>
                <w:sz w:val="15"/>
              </w:rPr>
              <w:t>Commercial</w:t>
            </w:r>
          </w:p>
        </w:tc>
        <w:tc>
          <w:tcPr>
            <w:tcW w:type="dxa" w:w="3408"/>
            <w:vAlign w:val="top"/>
            <w:shd w:fill="F2F2F2"/>
          </w:tcPr>
          <w:p>
            <w:pPr>
              <w:spacing w:after="0"/>
            </w:pPr>
            <w:r/>
            <w:r>
              <w:rPr>
                <w:rFonts w:ascii="Arial" w:hAnsi="Arial"/>
                <w:b w:val="0"/>
                <w:color w:val="404040"/>
                <w:sz w:val="15"/>
              </w:rPr>
              <w:t>Opportunity, TenderSubmission, CommercialHandover, HandoverChecklist, ClientCommitment</w:t>
            </w:r>
          </w:p>
        </w:tc>
        <w:tc>
          <w:tcPr>
            <w:tcW w:type="dxa" w:w="3408"/>
            <w:vAlign w:val="top"/>
            <w:shd w:fill="F2F2F2"/>
          </w:tcPr>
          <w:p>
            <w:pPr>
              <w:spacing w:after="0"/>
            </w:pPr>
            <w:r/>
            <w:r>
              <w:rPr>
                <w:rFonts w:ascii="Arial" w:hAnsi="Arial"/>
                <w:b w:val="0"/>
                <w:color w:val="404040"/>
                <w:sz w:val="15"/>
              </w:rPr>
              <w:t>Award → formal handover → Project</w:t>
            </w:r>
          </w:p>
        </w:tc>
      </w:tr>
      <w:tr>
        <w:tc>
          <w:tcPr>
            <w:tcW w:type="dxa" w:w="3408"/>
            <w:vAlign w:val="top"/>
            <w:shd w:fill="FFFFFF"/>
          </w:tcPr>
          <w:p>
            <w:pPr>
              <w:spacing w:after="0"/>
            </w:pPr>
            <w:r/>
            <w:r>
              <w:rPr>
                <w:rFonts w:ascii="Arial" w:hAnsi="Arial"/>
                <w:b w:val="0"/>
                <w:color w:val="404040"/>
                <w:sz w:val="15"/>
              </w:rPr>
              <w:t>Project control</w:t>
            </w:r>
          </w:p>
        </w:tc>
        <w:tc>
          <w:tcPr>
            <w:tcW w:type="dxa" w:w="3408"/>
            <w:vAlign w:val="top"/>
            <w:shd w:fill="FFFFFF"/>
          </w:tcPr>
          <w:p>
            <w:pPr>
              <w:spacing w:after="0"/>
            </w:pPr>
            <w:r/>
            <w:r>
              <w:rPr>
                <w:rFonts w:ascii="Arial" w:hAnsi="Arial"/>
                <w:b w:val="0"/>
                <w:color w:val="404040"/>
                <w:sz w:val="15"/>
              </w:rPr>
              <w:t>ProjectMilestone, ProjectBudgetLine, ProjectForecast, ProjectRisk, ProjectIssue, ProjectVariation</w:t>
            </w:r>
          </w:p>
        </w:tc>
        <w:tc>
          <w:tcPr>
            <w:tcW w:type="dxa" w:w="3408"/>
            <w:vAlign w:val="top"/>
            <w:shd w:fill="FFFFFF"/>
          </w:tcPr>
          <w:p>
            <w:pPr>
              <w:spacing w:after="0"/>
            </w:pPr>
            <w:r/>
            <w:r>
              <w:rPr>
                <w:rFonts w:ascii="Arial" w:hAnsi="Arial"/>
                <w:b w:val="0"/>
                <w:color w:val="404040"/>
                <w:sz w:val="15"/>
              </w:rPr>
              <w:t>Project → milestones/budget/risks/issues/variations</w:t>
            </w:r>
          </w:p>
        </w:tc>
      </w:tr>
      <w:tr>
        <w:tc>
          <w:tcPr>
            <w:tcW w:type="dxa" w:w="3408"/>
            <w:vAlign w:val="top"/>
            <w:shd w:fill="F2F2F2"/>
          </w:tcPr>
          <w:p>
            <w:pPr>
              <w:spacing w:after="0"/>
            </w:pPr>
            <w:r/>
            <w:r>
              <w:rPr>
                <w:rFonts w:ascii="Arial" w:hAnsi="Arial"/>
                <w:b w:val="0"/>
                <w:color w:val="404040"/>
                <w:sz w:val="15"/>
              </w:rPr>
              <w:t>Execution</w:t>
            </w:r>
          </w:p>
        </w:tc>
        <w:tc>
          <w:tcPr>
            <w:tcW w:type="dxa" w:w="3408"/>
            <w:vAlign w:val="top"/>
            <w:shd w:fill="F2F2F2"/>
          </w:tcPr>
          <w:p>
            <w:pPr>
              <w:spacing w:after="0"/>
            </w:pPr>
            <w:r/>
            <w:r>
              <w:rPr>
                <w:rFonts w:ascii="Arial" w:hAnsi="Arial"/>
                <w:b w:val="0"/>
                <w:color w:val="404040"/>
                <w:sz w:val="15"/>
              </w:rPr>
              <w:t>WorkPlan, WorkPlanItem, Task, TaskAssignment, ProgressEntry, Team</w:t>
            </w:r>
          </w:p>
        </w:tc>
        <w:tc>
          <w:tcPr>
            <w:tcW w:type="dxa" w:w="3408"/>
            <w:vAlign w:val="top"/>
            <w:shd w:fill="F2F2F2"/>
          </w:tcPr>
          <w:p>
            <w:pPr>
              <w:spacing w:after="0"/>
            </w:pPr>
            <w:r/>
            <w:r>
              <w:rPr>
                <w:rFonts w:ascii="Arial" w:hAnsi="Arial"/>
                <w:b w:val="0"/>
                <w:color w:val="404040"/>
                <w:sz w:val="15"/>
              </w:rPr>
              <w:t>Project/Site → plan → tasks → assignments → progress</w:t>
            </w:r>
          </w:p>
        </w:tc>
      </w:tr>
      <w:tr>
        <w:tc>
          <w:tcPr>
            <w:tcW w:type="dxa" w:w="3408"/>
            <w:vAlign w:val="top"/>
            <w:shd w:fill="FFFFFF"/>
          </w:tcPr>
          <w:p>
            <w:pPr>
              <w:spacing w:after="0"/>
            </w:pPr>
            <w:r/>
            <w:r>
              <w:rPr>
                <w:rFonts w:ascii="Arial" w:hAnsi="Arial"/>
                <w:b w:val="0"/>
                <w:color w:val="404040"/>
                <w:sz w:val="15"/>
              </w:rPr>
              <w:t>Procurement</w:t>
            </w:r>
          </w:p>
        </w:tc>
        <w:tc>
          <w:tcPr>
            <w:tcW w:type="dxa" w:w="3408"/>
            <w:vAlign w:val="top"/>
            <w:shd w:fill="FFFFFF"/>
          </w:tcPr>
          <w:p>
            <w:pPr>
              <w:spacing w:after="0"/>
            </w:pPr>
            <w:r/>
            <w:r>
              <w:rPr>
                <w:rFonts w:ascii="Arial" w:hAnsi="Arial"/>
                <w:b w:val="0"/>
                <w:color w:val="404040"/>
                <w:sz w:val="15"/>
              </w:rPr>
              <w:t>MaterialRequest, SupplierQuote, QuoteComparison, PurchaseOrder, PurchaseApproval, GoodsReceipt</w:t>
            </w:r>
          </w:p>
        </w:tc>
        <w:tc>
          <w:tcPr>
            <w:tcW w:type="dxa" w:w="3408"/>
            <w:vAlign w:val="top"/>
            <w:shd w:fill="FFFFFF"/>
          </w:tcPr>
          <w:p>
            <w:pPr>
              <w:spacing w:after="0"/>
            </w:pPr>
            <w:r/>
            <w:r>
              <w:rPr>
                <w:rFonts w:ascii="Arial" w:hAnsi="Arial"/>
                <w:b w:val="0"/>
                <w:color w:val="404040"/>
                <w:sz w:val="15"/>
              </w:rPr>
              <w:t>Project need → sourcing → PO → receipt</w:t>
            </w:r>
          </w:p>
        </w:tc>
      </w:tr>
      <w:tr>
        <w:tc>
          <w:tcPr>
            <w:tcW w:type="dxa" w:w="3408"/>
            <w:vAlign w:val="top"/>
            <w:shd w:fill="F2F2F2"/>
          </w:tcPr>
          <w:p>
            <w:pPr>
              <w:spacing w:after="0"/>
            </w:pPr>
            <w:r/>
            <w:r>
              <w:rPr>
                <w:rFonts w:ascii="Arial" w:hAnsi="Arial"/>
                <w:b w:val="0"/>
                <w:color w:val="404040"/>
                <w:sz w:val="15"/>
              </w:rPr>
              <w:t>Inventory</w:t>
            </w:r>
          </w:p>
        </w:tc>
        <w:tc>
          <w:tcPr>
            <w:tcW w:type="dxa" w:w="3408"/>
            <w:vAlign w:val="top"/>
            <w:shd w:fill="F2F2F2"/>
          </w:tcPr>
          <w:p>
            <w:pPr>
              <w:spacing w:after="0"/>
            </w:pPr>
            <w:r/>
            <w:r>
              <w:rPr>
                <w:rFonts w:ascii="Arial" w:hAnsi="Arial"/>
                <w:b w:val="0"/>
                <w:color w:val="404040"/>
                <w:sz w:val="15"/>
              </w:rPr>
              <w:t>StockLocation, StockLot, StockMovement, MaterialAllocation, MaterialConsumption, Tool, ToolAssignment, Asset, AssetAssignment</w:t>
            </w:r>
          </w:p>
        </w:tc>
        <w:tc>
          <w:tcPr>
            <w:tcW w:type="dxa" w:w="3408"/>
            <w:vAlign w:val="top"/>
            <w:shd w:fill="F2F2F2"/>
          </w:tcPr>
          <w:p>
            <w:pPr>
              <w:spacing w:after="0"/>
            </w:pPr>
            <w:r/>
            <w:r>
              <w:rPr>
                <w:rFonts w:ascii="Arial" w:hAnsi="Arial"/>
                <w:b w:val="0"/>
                <w:color w:val="404040"/>
                <w:sz w:val="15"/>
              </w:rPr>
              <w:t>Receipt → location/lot → allocation/consumption; asset custody</w:t>
            </w:r>
          </w:p>
        </w:tc>
      </w:tr>
      <w:tr>
        <w:tc>
          <w:tcPr>
            <w:tcW w:type="dxa" w:w="3408"/>
            <w:vAlign w:val="top"/>
            <w:shd w:fill="FFFFFF"/>
          </w:tcPr>
          <w:p>
            <w:pPr>
              <w:spacing w:after="0"/>
            </w:pPr>
            <w:r/>
            <w:r>
              <w:rPr>
                <w:rFonts w:ascii="Arial" w:hAnsi="Arial"/>
                <w:b w:val="0"/>
                <w:color w:val="404040"/>
                <w:sz w:val="15"/>
              </w:rPr>
              <w:t>HSE</w:t>
            </w:r>
          </w:p>
        </w:tc>
        <w:tc>
          <w:tcPr>
            <w:tcW w:type="dxa" w:w="3408"/>
            <w:vAlign w:val="top"/>
            <w:shd w:fill="FFFFFF"/>
          </w:tcPr>
          <w:p>
            <w:pPr>
              <w:spacing w:after="0"/>
            </w:pPr>
            <w:r/>
            <w:r>
              <w:rPr>
                <w:rFonts w:ascii="Arial" w:hAnsi="Arial"/>
                <w:b w:val="0"/>
                <w:color w:val="404040"/>
                <w:sz w:val="15"/>
              </w:rPr>
              <w:t>ToolboxTalk, ToolboxParticipant, HSEIncident, NearMiss, UnsafeCondition, HSEAction, PPEIssue</w:t>
            </w:r>
          </w:p>
        </w:tc>
        <w:tc>
          <w:tcPr>
            <w:tcW w:type="dxa" w:w="3408"/>
            <w:vAlign w:val="top"/>
            <w:shd w:fill="FFFFFF"/>
          </w:tcPr>
          <w:p>
            <w:pPr>
              <w:spacing w:after="0"/>
            </w:pPr>
            <w:r/>
            <w:r>
              <w:rPr>
                <w:rFonts w:ascii="Arial" w:hAnsi="Arial"/>
                <w:b w:val="0"/>
                <w:color w:val="404040"/>
                <w:sz w:val="15"/>
              </w:rPr>
              <w:t>Site → event → action → closure/escalation</w:t>
            </w:r>
          </w:p>
        </w:tc>
      </w:tr>
      <w:tr>
        <w:tc>
          <w:tcPr>
            <w:tcW w:type="dxa" w:w="3408"/>
            <w:vAlign w:val="top"/>
            <w:shd w:fill="F2F2F2"/>
          </w:tcPr>
          <w:p>
            <w:pPr>
              <w:spacing w:after="0"/>
            </w:pPr>
            <w:r/>
            <w:r>
              <w:rPr>
                <w:rFonts w:ascii="Arial" w:hAnsi="Arial"/>
                <w:b w:val="0"/>
                <w:color w:val="404040"/>
                <w:sz w:val="15"/>
              </w:rPr>
              <w:t>Quality/technical</w:t>
            </w:r>
          </w:p>
        </w:tc>
        <w:tc>
          <w:tcPr>
            <w:tcW w:type="dxa" w:w="3408"/>
            <w:vAlign w:val="top"/>
            <w:shd w:fill="F2F2F2"/>
          </w:tcPr>
          <w:p>
            <w:pPr>
              <w:spacing w:after="0"/>
            </w:pPr>
            <w:r/>
            <w:r>
              <w:rPr>
                <w:rFonts w:ascii="Arial" w:hAnsi="Arial"/>
                <w:b w:val="0"/>
                <w:color w:val="404040"/>
                <w:sz w:val="15"/>
              </w:rPr>
              <w:t>QualityInspection, PunchListItem, CorrectiveAction, Rfi, RfiResponse, TechnicalApproval, DesignChange, FieldInstruction</w:t>
            </w:r>
          </w:p>
        </w:tc>
        <w:tc>
          <w:tcPr>
            <w:tcW w:type="dxa" w:w="3408"/>
            <w:vAlign w:val="top"/>
            <w:shd w:fill="F2F2F2"/>
          </w:tcPr>
          <w:p>
            <w:pPr>
              <w:spacing w:after="0"/>
            </w:pPr>
            <w:r/>
            <w:r>
              <w:rPr>
                <w:rFonts w:ascii="Arial" w:hAnsi="Arial"/>
                <w:b w:val="0"/>
                <w:color w:val="404040"/>
                <w:sz w:val="15"/>
              </w:rPr>
              <w:t>Inspection/RFI/change lifecycle</w:t>
            </w:r>
          </w:p>
        </w:tc>
      </w:tr>
      <w:tr>
        <w:tc>
          <w:tcPr>
            <w:tcW w:type="dxa" w:w="3408"/>
            <w:vAlign w:val="top"/>
            <w:shd w:fill="FFFFFF"/>
          </w:tcPr>
          <w:p>
            <w:pPr>
              <w:spacing w:after="0"/>
            </w:pPr>
            <w:r/>
            <w:r>
              <w:rPr>
                <w:rFonts w:ascii="Arial" w:hAnsi="Arial"/>
                <w:b w:val="0"/>
                <w:color w:val="404040"/>
                <w:sz w:val="15"/>
              </w:rPr>
              <w:t>Documents</w:t>
            </w:r>
          </w:p>
        </w:tc>
        <w:tc>
          <w:tcPr>
            <w:tcW w:type="dxa" w:w="3408"/>
            <w:vAlign w:val="top"/>
            <w:shd w:fill="FFFFFF"/>
          </w:tcPr>
          <w:p>
            <w:pPr>
              <w:spacing w:after="0"/>
            </w:pPr>
            <w:r/>
            <w:r>
              <w:rPr>
                <w:rFonts w:ascii="Arial" w:hAnsi="Arial"/>
                <w:b w:val="0"/>
                <w:color w:val="404040"/>
                <w:sz w:val="15"/>
              </w:rPr>
              <w:t>ProjectDocument, DocumentVersion, DocumentApproval, DocumentAcknowledgement, DocumentLink</w:t>
            </w:r>
          </w:p>
        </w:tc>
        <w:tc>
          <w:tcPr>
            <w:tcW w:type="dxa" w:w="3408"/>
            <w:vAlign w:val="top"/>
            <w:shd w:fill="FFFFFF"/>
          </w:tcPr>
          <w:p>
            <w:pPr>
              <w:spacing w:after="0"/>
            </w:pPr>
            <w:r/>
            <w:r>
              <w:rPr>
                <w:rFonts w:ascii="Arial" w:hAnsi="Arial"/>
                <w:b w:val="0"/>
                <w:color w:val="404040"/>
                <w:sz w:val="15"/>
              </w:rPr>
              <w:t>Record/project → versioned file → approval/acknowledgement</w:t>
            </w:r>
          </w:p>
        </w:tc>
      </w:tr>
      <w:tr>
        <w:tc>
          <w:tcPr>
            <w:tcW w:type="dxa" w:w="3408"/>
            <w:vAlign w:val="top"/>
            <w:shd w:fill="F2F2F2"/>
          </w:tcPr>
          <w:p>
            <w:pPr>
              <w:spacing w:after="0"/>
            </w:pPr>
            <w:r/>
            <w:r>
              <w:rPr>
                <w:rFonts w:ascii="Arial" w:hAnsi="Arial"/>
                <w:b w:val="0"/>
                <w:color w:val="404040"/>
                <w:sz w:val="15"/>
              </w:rPr>
              <w:t>Finance/OCR</w:t>
            </w:r>
          </w:p>
        </w:tc>
        <w:tc>
          <w:tcPr>
            <w:tcW w:type="dxa" w:w="3408"/>
            <w:vAlign w:val="top"/>
            <w:shd w:fill="F2F2F2"/>
          </w:tcPr>
          <w:p>
            <w:pPr>
              <w:spacing w:after="0"/>
            </w:pPr>
            <w:r/>
            <w:r>
              <w:rPr>
                <w:rFonts w:ascii="Arial" w:hAnsi="Arial"/>
                <w:b w:val="0"/>
                <w:color w:val="404040"/>
                <w:sz w:val="15"/>
              </w:rPr>
              <w:t>Expense, ExpenseDocument, OcrExtraction, ExpenseReviewStep, ExpenseApproval, ExpensePayment</w:t>
            </w:r>
          </w:p>
        </w:tc>
        <w:tc>
          <w:tcPr>
            <w:tcW w:type="dxa" w:w="3408"/>
            <w:vAlign w:val="top"/>
            <w:shd w:fill="F2F2F2"/>
          </w:tcPr>
          <w:p>
            <w:pPr>
              <w:spacing w:after="0"/>
            </w:pPr>
            <w:r/>
            <w:r>
              <w:rPr>
                <w:rFonts w:ascii="Arial" w:hAnsi="Arial"/>
                <w:b w:val="0"/>
                <w:color w:val="404040"/>
                <w:sz w:val="15"/>
              </w:rPr>
              <w:t>Expense → document/OCR → review → approval → payment</w:t>
            </w:r>
          </w:p>
        </w:tc>
      </w:tr>
      <w:tr>
        <w:tc>
          <w:tcPr>
            <w:tcW w:type="dxa" w:w="3408"/>
            <w:vAlign w:val="top"/>
            <w:shd w:fill="FFFFFF"/>
          </w:tcPr>
          <w:p>
            <w:pPr>
              <w:spacing w:after="0"/>
            </w:pPr>
            <w:r/>
            <w:r>
              <w:rPr>
                <w:rFonts w:ascii="Arial" w:hAnsi="Arial"/>
                <w:b w:val="0"/>
                <w:color w:val="404040"/>
                <w:sz w:val="15"/>
              </w:rPr>
              <w:t>Communications</w:t>
            </w:r>
          </w:p>
        </w:tc>
        <w:tc>
          <w:tcPr>
            <w:tcW w:type="dxa" w:w="3408"/>
            <w:vAlign w:val="top"/>
            <w:shd w:fill="FFFFFF"/>
          </w:tcPr>
          <w:p>
            <w:pPr>
              <w:spacing w:after="0"/>
            </w:pPr>
            <w:r/>
            <w:r>
              <w:rPr>
                <w:rFonts w:ascii="Arial" w:hAnsi="Arial"/>
                <w:b w:val="0"/>
                <w:color w:val="404040"/>
                <w:sz w:val="15"/>
              </w:rPr>
              <w:t>Meeting, MeetingParticipant, MeetingAction, Notification, NotificationPreference, NotificationEvent</w:t>
            </w:r>
          </w:p>
        </w:tc>
        <w:tc>
          <w:tcPr>
            <w:tcW w:type="dxa" w:w="3408"/>
            <w:vAlign w:val="top"/>
            <w:shd w:fill="FFFFFF"/>
          </w:tcPr>
          <w:p>
            <w:pPr>
              <w:spacing w:after="0"/>
            </w:pPr>
            <w:r/>
            <w:r>
              <w:rPr>
                <w:rFonts w:ascii="Arial" w:hAnsi="Arial"/>
                <w:b w:val="0"/>
                <w:color w:val="404040"/>
                <w:sz w:val="15"/>
              </w:rPr>
              <w:t>Project → meetings/actions; events → scoped notifications</w:t>
            </w:r>
          </w:p>
        </w:tc>
      </w:tr>
      <w:tr>
        <w:tc>
          <w:tcPr>
            <w:tcW w:type="dxa" w:w="3408"/>
            <w:vAlign w:val="top"/>
            <w:shd w:fill="F2F2F2"/>
          </w:tcPr>
          <w:p>
            <w:pPr>
              <w:spacing w:after="0"/>
            </w:pPr>
            <w:r/>
            <w:r>
              <w:rPr>
                <w:rFonts w:ascii="Arial" w:hAnsi="Arial"/>
                <w:b w:val="0"/>
                <w:color w:val="404040"/>
                <w:sz w:val="15"/>
              </w:rPr>
              <w:t>Handover/O&amp;M</w:t>
            </w:r>
          </w:p>
        </w:tc>
        <w:tc>
          <w:tcPr>
            <w:tcW w:type="dxa" w:w="3408"/>
            <w:vAlign w:val="top"/>
            <w:shd w:fill="F2F2F2"/>
          </w:tcPr>
          <w:p>
            <w:pPr>
              <w:spacing w:after="0"/>
            </w:pPr>
            <w:r/>
            <w:r>
              <w:rPr>
                <w:rFonts w:ascii="Arial" w:hAnsi="Arial"/>
                <w:b w:val="0"/>
                <w:color w:val="404040"/>
                <w:sz w:val="15"/>
              </w:rPr>
              <w:t>CommissioningPackage, HandoverPackage, HandoverItem, Warranty, OandMAsset, MaintenancePlan, MaintenanceWorkOrder</w:t>
            </w:r>
          </w:p>
        </w:tc>
        <w:tc>
          <w:tcPr>
            <w:tcW w:type="dxa" w:w="3408"/>
            <w:vAlign w:val="top"/>
            <w:shd w:fill="F2F2F2"/>
          </w:tcPr>
          <w:p>
            <w:pPr>
              <w:spacing w:after="0"/>
            </w:pPr>
            <w:r/>
            <w:r>
              <w:rPr>
                <w:rFonts w:ascii="Arial" w:hAnsi="Arial"/>
                <w:b w:val="0"/>
                <w:color w:val="404040"/>
                <w:sz w:val="15"/>
              </w:rPr>
              <w:t>EPC project → accepted handover → O&amp;M assets → maintenance</w:t>
            </w:r>
          </w:p>
        </w:tc>
      </w:tr>
      <w:tr>
        <w:tc>
          <w:tcPr>
            <w:tcW w:type="dxa" w:w="3408"/>
            <w:vAlign w:val="top"/>
            <w:shd w:fill="FFFFFF"/>
          </w:tcPr>
          <w:p>
            <w:pPr>
              <w:spacing w:after="0"/>
            </w:pPr>
            <w:r/>
            <w:r>
              <w:rPr>
                <w:rFonts w:ascii="Arial" w:hAnsi="Arial"/>
                <w:b w:val="0"/>
                <w:color w:val="404040"/>
                <w:sz w:val="15"/>
              </w:rPr>
              <w:t>Governance</w:t>
            </w:r>
          </w:p>
        </w:tc>
        <w:tc>
          <w:tcPr>
            <w:tcW w:type="dxa" w:w="3408"/>
            <w:vAlign w:val="top"/>
            <w:shd w:fill="FFFFFF"/>
          </w:tcPr>
          <w:p>
            <w:pPr>
              <w:spacing w:after="0"/>
            </w:pPr>
            <w:r/>
            <w:r>
              <w:rPr>
                <w:rFonts w:ascii="Arial" w:hAnsi="Arial"/>
                <w:b w:val="0"/>
                <w:color w:val="404040"/>
                <w:sz w:val="15"/>
              </w:rPr>
              <w:t>AuditLog, SecurityEvent, DataCorrectionRequest</w:t>
            </w:r>
          </w:p>
        </w:tc>
        <w:tc>
          <w:tcPr>
            <w:tcW w:type="dxa" w:w="3408"/>
            <w:vAlign w:val="top"/>
            <w:shd w:fill="FFFFFF"/>
          </w:tcPr>
          <w:p>
            <w:pPr>
              <w:spacing w:after="0"/>
            </w:pPr>
            <w:r/>
            <w:r>
              <w:rPr>
                <w:rFonts w:ascii="Arial" w:hAnsi="Arial"/>
                <w:b w:val="0"/>
                <w:color w:val="404040"/>
                <w:sz w:val="15"/>
              </w:rPr>
              <w:t>Every critical transition → immutable audit</w:t>
            </w:r>
          </w:p>
        </w:tc>
      </w:tr>
    </w:tbl>
    <w:p>
      <w:pPr>
        <w:spacing w:after="40"/>
      </w:pPr>
    </w:p>
    <w:p>
      <w:pPr>
        <w:pStyle w:val="Heading1"/>
      </w:pPr>
      <w:r>
        <w:t>9. Test strategy and release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Test layer</w:t>
            </w:r>
          </w:p>
        </w:tc>
        <w:tc>
          <w:tcPr>
            <w:tcW w:type="dxa" w:w="3408"/>
            <w:vAlign w:val="top"/>
            <w:shd w:fill="17365D"/>
          </w:tcPr>
          <w:p>
            <w:pPr>
              <w:spacing w:after="0"/>
            </w:pPr>
            <w:r/>
            <w:r>
              <w:rPr>
                <w:rFonts w:ascii="Arial" w:hAnsi="Arial"/>
                <w:b/>
                <w:color w:val="FFFFFF"/>
                <w:sz w:val="15"/>
              </w:rPr>
              <w:t>Required scope</w:t>
            </w:r>
          </w:p>
        </w:tc>
        <w:tc>
          <w:tcPr>
            <w:tcW w:type="dxa" w:w="3408"/>
            <w:vAlign w:val="top"/>
            <w:shd w:fill="17365D"/>
          </w:tcPr>
          <w:p>
            <w:pPr>
              <w:spacing w:after="0"/>
            </w:pPr>
            <w:r/>
            <w:r>
              <w:rPr>
                <w:rFonts w:ascii="Arial" w:hAnsi="Arial"/>
                <w:b/>
                <w:color w:val="FFFFFF"/>
                <w:sz w:val="15"/>
              </w:rPr>
              <w:t>Release gate</w:t>
            </w:r>
          </w:p>
        </w:tc>
      </w:tr>
      <w:tr>
        <w:tc>
          <w:tcPr>
            <w:tcW w:type="dxa" w:w="3408"/>
            <w:vAlign w:val="top"/>
            <w:shd w:fill="FFFFFF"/>
          </w:tcPr>
          <w:p>
            <w:pPr>
              <w:spacing w:after="0"/>
            </w:pPr>
            <w:r/>
            <w:r>
              <w:rPr>
                <w:rFonts w:ascii="Arial" w:hAnsi="Arial"/>
                <w:b w:val="0"/>
                <w:color w:val="404040"/>
                <w:sz w:val="15"/>
              </w:rPr>
              <w:t>Unit</w:t>
            </w:r>
          </w:p>
        </w:tc>
        <w:tc>
          <w:tcPr>
            <w:tcW w:type="dxa" w:w="3408"/>
            <w:vAlign w:val="top"/>
            <w:shd w:fill="FFFFFF"/>
          </w:tcPr>
          <w:p>
            <w:pPr>
              <w:spacing w:after="0"/>
            </w:pPr>
            <w:r/>
            <w:r>
              <w:rPr>
                <w:rFonts w:ascii="Arial" w:hAnsi="Arial"/>
                <w:b w:val="0"/>
                <w:color w:val="404040"/>
                <w:sz w:val="15"/>
              </w:rPr>
              <w:t>Shared domain calculations, permission helpers, validation, OCR normalization, status transition guards</w:t>
            </w:r>
          </w:p>
        </w:tc>
        <w:tc>
          <w:tcPr>
            <w:tcW w:type="dxa" w:w="3408"/>
            <w:vAlign w:val="top"/>
            <w:shd w:fill="FFFFFF"/>
          </w:tcPr>
          <w:p>
            <w:pPr>
              <w:spacing w:after="0"/>
            </w:pPr>
            <w:r/>
            <w:r>
              <w:rPr>
                <w:rFonts w:ascii="Arial" w:hAnsi="Arial"/>
                <w:b w:val="0"/>
                <w:color w:val="404040"/>
                <w:sz w:val="15"/>
              </w:rPr>
              <w:t>All changed logic green</w:t>
            </w:r>
          </w:p>
        </w:tc>
      </w:tr>
      <w:tr>
        <w:tc>
          <w:tcPr>
            <w:tcW w:type="dxa" w:w="3408"/>
            <w:vAlign w:val="top"/>
            <w:shd w:fill="F2F2F2"/>
          </w:tcPr>
          <w:p>
            <w:pPr>
              <w:spacing w:after="0"/>
            </w:pPr>
            <w:r/>
            <w:r>
              <w:rPr>
                <w:rFonts w:ascii="Arial" w:hAnsi="Arial"/>
                <w:b w:val="0"/>
                <w:color w:val="404040"/>
                <w:sz w:val="15"/>
              </w:rPr>
              <w:t>Backend integration</w:t>
            </w:r>
          </w:p>
        </w:tc>
        <w:tc>
          <w:tcPr>
            <w:tcW w:type="dxa" w:w="3408"/>
            <w:vAlign w:val="top"/>
            <w:shd w:fill="F2F2F2"/>
          </w:tcPr>
          <w:p>
            <w:pPr>
              <w:spacing w:after="0"/>
            </w:pPr>
            <w:r/>
            <w:r>
              <w:rPr>
                <w:rFonts w:ascii="Arial" w:hAnsi="Arial"/>
                <w:b w:val="0"/>
                <w:color w:val="404040"/>
                <w:sz w:val="15"/>
              </w:rPr>
              <w:t>API + Prisma + PostgreSQL for each new module; authorization and transactions</w:t>
            </w:r>
          </w:p>
        </w:tc>
        <w:tc>
          <w:tcPr>
            <w:tcW w:type="dxa" w:w="3408"/>
            <w:vAlign w:val="top"/>
            <w:shd w:fill="F2F2F2"/>
          </w:tcPr>
          <w:p>
            <w:pPr>
              <w:spacing w:after="0"/>
            </w:pPr>
            <w:r/>
            <w:r>
              <w:rPr>
                <w:rFonts w:ascii="Arial" w:hAnsi="Arial"/>
                <w:b w:val="0"/>
                <w:color w:val="404040"/>
                <w:sz w:val="15"/>
              </w:rPr>
              <w:t>Critical journeys green; no known high-severity failures</w:t>
            </w:r>
          </w:p>
        </w:tc>
      </w:tr>
      <w:tr>
        <w:tc>
          <w:tcPr>
            <w:tcW w:type="dxa" w:w="3408"/>
            <w:vAlign w:val="top"/>
            <w:shd w:fill="FFFFFF"/>
          </w:tcPr>
          <w:p>
            <w:pPr>
              <w:spacing w:after="0"/>
            </w:pPr>
            <w:r/>
            <w:r>
              <w:rPr>
                <w:rFonts w:ascii="Arial" w:hAnsi="Arial"/>
                <w:b w:val="0"/>
                <w:color w:val="404040"/>
                <w:sz w:val="15"/>
              </w:rPr>
              <w:t>API contract</w:t>
            </w:r>
          </w:p>
        </w:tc>
        <w:tc>
          <w:tcPr>
            <w:tcW w:type="dxa" w:w="3408"/>
            <w:vAlign w:val="top"/>
            <w:shd w:fill="FFFFFF"/>
          </w:tcPr>
          <w:p>
            <w:pPr>
              <w:spacing w:after="0"/>
            </w:pPr>
            <w:r/>
            <w:r>
              <w:rPr>
                <w:rFonts w:ascii="Arial" w:hAnsi="Arial"/>
                <w:b w:val="0"/>
                <w:color w:val="404040"/>
                <w:sz w:val="15"/>
              </w:rPr>
              <w:t>DTO/schema compatibility for web/mobile clients</w:t>
            </w:r>
          </w:p>
        </w:tc>
        <w:tc>
          <w:tcPr>
            <w:tcW w:type="dxa" w:w="3408"/>
            <w:vAlign w:val="top"/>
            <w:shd w:fill="FFFFFF"/>
          </w:tcPr>
          <w:p>
            <w:pPr>
              <w:spacing w:after="0"/>
            </w:pPr>
            <w:r/>
            <w:r>
              <w:rPr>
                <w:rFonts w:ascii="Arial" w:hAnsi="Arial"/>
                <w:b w:val="0"/>
                <w:color w:val="404040"/>
                <w:sz w:val="15"/>
              </w:rPr>
              <w:t>No breaking contract without versioned migration plan</w:t>
            </w:r>
          </w:p>
        </w:tc>
      </w:tr>
      <w:tr>
        <w:tc>
          <w:tcPr>
            <w:tcW w:type="dxa" w:w="3408"/>
            <w:vAlign w:val="top"/>
            <w:shd w:fill="F2F2F2"/>
          </w:tcPr>
          <w:p>
            <w:pPr>
              <w:spacing w:after="0"/>
            </w:pPr>
            <w:r/>
            <w:r>
              <w:rPr>
                <w:rFonts w:ascii="Arial" w:hAnsi="Arial"/>
                <w:b w:val="0"/>
                <w:color w:val="404040"/>
                <w:sz w:val="15"/>
              </w:rPr>
              <w:t>Web E2E</w:t>
            </w:r>
          </w:p>
        </w:tc>
        <w:tc>
          <w:tcPr>
            <w:tcW w:type="dxa" w:w="3408"/>
            <w:vAlign w:val="top"/>
            <w:shd w:fill="F2F2F2"/>
          </w:tcPr>
          <w:p>
            <w:pPr>
              <w:spacing w:after="0"/>
            </w:pPr>
            <w:r/>
            <w:r>
              <w:rPr>
                <w:rFonts w:ascii="Arial" w:hAnsi="Arial"/>
                <w:b w:val="0"/>
                <w:color w:val="404040"/>
                <w:sz w:val="15"/>
              </w:rPr>
              <w:t>Role-specific flows, loading/error/empty states, real API, no mocks</w:t>
            </w:r>
          </w:p>
        </w:tc>
        <w:tc>
          <w:tcPr>
            <w:tcW w:type="dxa" w:w="3408"/>
            <w:vAlign w:val="top"/>
            <w:shd w:fill="F2F2F2"/>
          </w:tcPr>
          <w:p>
            <w:pPr>
              <w:spacing w:after="0"/>
            </w:pPr>
            <w:r/>
            <w:r>
              <w:rPr>
                <w:rFonts w:ascii="Arial" w:hAnsi="Arial"/>
                <w:b w:val="0"/>
                <w:color w:val="404040"/>
                <w:sz w:val="15"/>
              </w:rPr>
              <w:t>All critical web journeys pass</w:t>
            </w:r>
          </w:p>
        </w:tc>
      </w:tr>
      <w:tr>
        <w:tc>
          <w:tcPr>
            <w:tcW w:type="dxa" w:w="3408"/>
            <w:vAlign w:val="top"/>
            <w:shd w:fill="FFFFFF"/>
          </w:tcPr>
          <w:p>
            <w:pPr>
              <w:spacing w:after="0"/>
            </w:pPr>
            <w:r/>
            <w:r>
              <w:rPr>
                <w:rFonts w:ascii="Arial" w:hAnsi="Arial"/>
                <w:b w:val="0"/>
                <w:color w:val="404040"/>
                <w:sz w:val="15"/>
              </w:rPr>
              <w:t>Mobile E2E</w:t>
            </w:r>
          </w:p>
        </w:tc>
        <w:tc>
          <w:tcPr>
            <w:tcW w:type="dxa" w:w="3408"/>
            <w:vAlign w:val="top"/>
            <w:shd w:fill="FFFFFF"/>
          </w:tcPr>
          <w:p>
            <w:pPr>
              <w:spacing w:after="0"/>
            </w:pPr>
            <w:r/>
            <w:r>
              <w:rPr>
                <w:rFonts w:ascii="Arial" w:hAnsi="Arial"/>
                <w:b w:val="0"/>
                <w:color w:val="404040"/>
                <w:sz w:val="15"/>
              </w:rPr>
              <w:t>Auth, attendance, reports, delivery, expenses, notifications, offline sync</w:t>
            </w:r>
          </w:p>
        </w:tc>
        <w:tc>
          <w:tcPr>
            <w:tcW w:type="dxa" w:w="3408"/>
            <w:vAlign w:val="top"/>
            <w:shd w:fill="FFFFFF"/>
          </w:tcPr>
          <w:p>
            <w:pPr>
              <w:spacing w:after="0"/>
            </w:pPr>
            <w:r/>
            <w:r>
              <w:rPr>
                <w:rFonts w:ascii="Arial" w:hAnsi="Arial"/>
                <w:b w:val="0"/>
                <w:color w:val="404040"/>
                <w:sz w:val="15"/>
              </w:rPr>
              <w:t>Critical mobile journeys pass on supported targets</w:t>
            </w:r>
          </w:p>
        </w:tc>
      </w:tr>
      <w:tr>
        <w:tc>
          <w:tcPr>
            <w:tcW w:type="dxa" w:w="3408"/>
            <w:vAlign w:val="top"/>
            <w:shd w:fill="F2F2F2"/>
          </w:tcPr>
          <w:p>
            <w:pPr>
              <w:spacing w:after="0"/>
            </w:pPr>
            <w:r/>
            <w:r>
              <w:rPr>
                <w:rFonts w:ascii="Arial" w:hAnsi="Arial"/>
                <w:b w:val="0"/>
                <w:color w:val="404040"/>
                <w:sz w:val="15"/>
              </w:rPr>
              <w:t>Security</w:t>
            </w:r>
          </w:p>
        </w:tc>
        <w:tc>
          <w:tcPr>
            <w:tcW w:type="dxa" w:w="3408"/>
            <w:vAlign w:val="top"/>
            <w:shd w:fill="F2F2F2"/>
          </w:tcPr>
          <w:p>
            <w:pPr>
              <w:spacing w:after="0"/>
            </w:pPr>
            <w:r/>
            <w:r>
              <w:rPr>
                <w:rFonts w:ascii="Arial" w:hAnsi="Arial"/>
                <w:b w:val="0"/>
                <w:color w:val="404040"/>
                <w:sz w:val="15"/>
              </w:rPr>
              <w:t>Cross-project/site access, privilege escalation, self-approval, file access, session revocation</w:t>
            </w:r>
          </w:p>
        </w:tc>
        <w:tc>
          <w:tcPr>
            <w:tcW w:type="dxa" w:w="3408"/>
            <w:vAlign w:val="top"/>
            <w:shd w:fill="F2F2F2"/>
          </w:tcPr>
          <w:p>
            <w:pPr>
              <w:spacing w:after="0"/>
            </w:pPr>
            <w:r/>
            <w:r>
              <w:rPr>
                <w:rFonts w:ascii="Arial" w:hAnsi="Arial"/>
                <w:b w:val="0"/>
                <w:color w:val="404040"/>
                <w:sz w:val="15"/>
              </w:rPr>
              <w:t>No critical/ high severity authorization defect</w:t>
            </w:r>
          </w:p>
        </w:tc>
      </w:tr>
      <w:tr>
        <w:tc>
          <w:tcPr>
            <w:tcW w:type="dxa" w:w="3408"/>
            <w:vAlign w:val="top"/>
            <w:shd w:fill="FFFFFF"/>
          </w:tcPr>
          <w:p>
            <w:pPr>
              <w:spacing w:after="0"/>
            </w:pPr>
            <w:r/>
            <w:r>
              <w:rPr>
                <w:rFonts w:ascii="Arial" w:hAnsi="Arial"/>
                <w:b w:val="0"/>
                <w:color w:val="404040"/>
                <w:sz w:val="15"/>
              </w:rPr>
              <w:t>Data integrity</w:t>
            </w:r>
          </w:p>
        </w:tc>
        <w:tc>
          <w:tcPr>
            <w:tcW w:type="dxa" w:w="3408"/>
            <w:vAlign w:val="top"/>
            <w:shd w:fill="FFFFFF"/>
          </w:tcPr>
          <w:p>
            <w:pPr>
              <w:spacing w:after="0"/>
            </w:pPr>
            <w:r/>
            <w:r>
              <w:rPr>
                <w:rFonts w:ascii="Arial" w:hAnsi="Arial"/>
                <w:b w:val="0"/>
                <w:color w:val="404040"/>
                <w:sz w:val="15"/>
              </w:rPr>
              <w:t>Negative stock, duplicate sync, concurrent approval/receipt, audit immutability</w:t>
            </w:r>
          </w:p>
        </w:tc>
        <w:tc>
          <w:tcPr>
            <w:tcW w:type="dxa" w:w="3408"/>
            <w:vAlign w:val="top"/>
            <w:shd w:fill="FFFFFF"/>
          </w:tcPr>
          <w:p>
            <w:pPr>
              <w:spacing w:after="0"/>
            </w:pPr>
            <w:r/>
            <w:r>
              <w:rPr>
                <w:rFonts w:ascii="Arial" w:hAnsi="Arial"/>
                <w:b w:val="0"/>
                <w:color w:val="404040"/>
                <w:sz w:val="15"/>
              </w:rPr>
              <w:t>All invariants pass under concurrency tests</w:t>
            </w:r>
          </w:p>
        </w:tc>
      </w:tr>
      <w:tr>
        <w:tc>
          <w:tcPr>
            <w:tcW w:type="dxa" w:w="3408"/>
            <w:vAlign w:val="top"/>
            <w:shd w:fill="F2F2F2"/>
          </w:tcPr>
          <w:p>
            <w:pPr>
              <w:spacing w:after="0"/>
            </w:pPr>
            <w:r/>
            <w:r>
              <w:rPr>
                <w:rFonts w:ascii="Arial" w:hAnsi="Arial"/>
                <w:b w:val="0"/>
                <w:color w:val="404040"/>
                <w:sz w:val="15"/>
              </w:rPr>
              <w:t>Operational</w:t>
            </w:r>
          </w:p>
        </w:tc>
        <w:tc>
          <w:tcPr>
            <w:tcW w:type="dxa" w:w="3408"/>
            <w:vAlign w:val="top"/>
            <w:shd w:fill="F2F2F2"/>
          </w:tcPr>
          <w:p>
            <w:pPr>
              <w:spacing w:after="0"/>
            </w:pPr>
            <w:r/>
            <w:r>
              <w:rPr>
                <w:rFonts w:ascii="Arial" w:hAnsi="Arial"/>
                <w:b w:val="0"/>
                <w:color w:val="404040"/>
                <w:sz w:val="15"/>
              </w:rPr>
              <w:t>Migration rehearsal, backup/restore, logs, health/readiness, rollback</w:t>
            </w:r>
          </w:p>
        </w:tc>
        <w:tc>
          <w:tcPr>
            <w:tcW w:type="dxa" w:w="3408"/>
            <w:vAlign w:val="top"/>
            <w:shd w:fill="F2F2F2"/>
          </w:tcPr>
          <w:p>
            <w:pPr>
              <w:spacing w:after="0"/>
            </w:pPr>
            <w:r/>
            <w:r>
              <w:rPr>
                <w:rFonts w:ascii="Arial" w:hAnsi="Arial"/>
                <w:b w:val="0"/>
                <w:color w:val="404040"/>
                <w:sz w:val="15"/>
              </w:rPr>
              <w:t>Staging sign-off before production</w:t>
            </w:r>
          </w:p>
        </w:tc>
      </w:tr>
      <w:tr>
        <w:tc>
          <w:tcPr>
            <w:tcW w:type="dxa" w:w="3408"/>
            <w:vAlign w:val="top"/>
            <w:shd w:fill="FFFFFF"/>
          </w:tcPr>
          <w:p>
            <w:pPr>
              <w:spacing w:after="0"/>
            </w:pPr>
            <w:r/>
            <w:r>
              <w:rPr>
                <w:rFonts w:ascii="Arial" w:hAnsi="Arial"/>
                <w:b w:val="0"/>
                <w:color w:val="404040"/>
                <w:sz w:val="15"/>
              </w:rPr>
              <w:t>UAT</w:t>
            </w:r>
          </w:p>
        </w:tc>
        <w:tc>
          <w:tcPr>
            <w:tcW w:type="dxa" w:w="3408"/>
            <w:vAlign w:val="top"/>
            <w:shd w:fill="FFFFFF"/>
          </w:tcPr>
          <w:p>
            <w:pPr>
              <w:spacing w:after="0"/>
            </w:pPr>
            <w:r/>
            <w:r>
              <w:rPr>
                <w:rFonts w:ascii="Arial" w:hAnsi="Arial"/>
                <w:b w:val="0"/>
                <w:color w:val="404040"/>
                <w:sz w:val="15"/>
              </w:rPr>
              <w:t>One scenario per documented role plus external collaborator scope</w:t>
            </w:r>
          </w:p>
        </w:tc>
        <w:tc>
          <w:tcPr>
            <w:tcW w:type="dxa" w:w="3408"/>
            <w:vAlign w:val="top"/>
            <w:shd w:fill="FFFFFF"/>
          </w:tcPr>
          <w:p>
            <w:pPr>
              <w:spacing w:after="0"/>
            </w:pPr>
            <w:r/>
            <w:r>
              <w:rPr>
                <w:rFonts w:ascii="Arial" w:hAnsi="Arial"/>
                <w:b w:val="0"/>
                <w:color w:val="404040"/>
                <w:sz w:val="15"/>
              </w:rPr>
              <w:t>Business owner accepts evidence</w:t>
            </w:r>
          </w:p>
        </w:tc>
      </w:tr>
    </w:tbl>
    <w:p>
      <w:pPr>
        <w:spacing w:after="40"/>
      </w:pPr>
    </w:p>
    <w:p>
      <w:pPr>
        <w:pStyle w:val="Heading2"/>
      </w:pPr>
      <w:r>
        <w:t>9.1 Minimum critical journey suite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ID</w:t>
            </w:r>
          </w:p>
        </w:tc>
        <w:tc>
          <w:tcPr>
            <w:tcW w:type="dxa" w:w="3408"/>
            <w:vAlign w:val="top"/>
            <w:shd w:fill="17365D"/>
          </w:tcPr>
          <w:p>
            <w:pPr>
              <w:spacing w:after="0"/>
            </w:pPr>
            <w:r/>
            <w:r>
              <w:rPr>
                <w:rFonts w:ascii="Arial" w:hAnsi="Arial"/>
                <w:b/>
                <w:color w:val="FFFFFF"/>
                <w:sz w:val="15"/>
              </w:rPr>
              <w:t>Journey</w:t>
            </w:r>
          </w:p>
        </w:tc>
        <w:tc>
          <w:tcPr>
            <w:tcW w:type="dxa" w:w="3408"/>
            <w:vAlign w:val="top"/>
            <w:shd w:fill="17365D"/>
          </w:tcPr>
          <w:p>
            <w:pPr>
              <w:spacing w:after="0"/>
            </w:pPr>
            <w:r/>
            <w:r>
              <w:rPr>
                <w:rFonts w:ascii="Arial" w:hAnsi="Arial"/>
                <w:b/>
                <w:color w:val="FFFFFF"/>
                <w:sz w:val="15"/>
              </w:rPr>
              <w:t>Expected flow</w:t>
            </w:r>
          </w:p>
        </w:tc>
      </w:tr>
      <w:tr>
        <w:tc>
          <w:tcPr>
            <w:tcW w:type="dxa" w:w="3408"/>
            <w:vAlign w:val="top"/>
            <w:shd w:fill="FFFFFF"/>
          </w:tcPr>
          <w:p>
            <w:pPr>
              <w:spacing w:after="0"/>
            </w:pPr>
            <w:r/>
            <w:r>
              <w:rPr>
                <w:rFonts w:ascii="Arial" w:hAnsi="Arial"/>
                <w:b w:val="0"/>
                <w:color w:val="404040"/>
                <w:sz w:val="15"/>
              </w:rPr>
              <w:t>J01</w:t>
            </w:r>
          </w:p>
        </w:tc>
        <w:tc>
          <w:tcPr>
            <w:tcW w:type="dxa" w:w="3408"/>
            <w:vAlign w:val="top"/>
            <w:shd w:fill="FFFFFF"/>
          </w:tcPr>
          <w:p>
            <w:pPr>
              <w:spacing w:after="0"/>
            </w:pPr>
            <w:r/>
            <w:r>
              <w:rPr>
                <w:rFonts w:ascii="Arial" w:hAnsi="Arial"/>
                <w:b w:val="0"/>
                <w:color w:val="404040"/>
                <w:sz w:val="15"/>
              </w:rPr>
              <w:t>Commercial handover</w:t>
            </w:r>
          </w:p>
        </w:tc>
        <w:tc>
          <w:tcPr>
            <w:tcW w:type="dxa" w:w="3408"/>
            <w:vAlign w:val="top"/>
            <w:shd w:fill="FFFFFF"/>
          </w:tcPr>
          <w:p>
            <w:pPr>
              <w:spacing w:after="0"/>
            </w:pPr>
            <w:r/>
            <w:r>
              <w:rPr>
                <w:rFonts w:ascii="Arial" w:hAnsi="Arial"/>
                <w:b w:val="0"/>
                <w:color w:val="404040"/>
                <w:sz w:val="15"/>
              </w:rPr>
              <w:t>Opportunity → award → handover checklist → PM accepts → project created</w:t>
            </w:r>
          </w:p>
        </w:tc>
      </w:tr>
      <w:tr>
        <w:tc>
          <w:tcPr>
            <w:tcW w:type="dxa" w:w="3408"/>
            <w:vAlign w:val="top"/>
            <w:shd w:fill="F2F2F2"/>
          </w:tcPr>
          <w:p>
            <w:pPr>
              <w:spacing w:after="0"/>
            </w:pPr>
            <w:r/>
            <w:r>
              <w:rPr>
                <w:rFonts w:ascii="Arial" w:hAnsi="Arial"/>
                <w:b w:val="0"/>
                <w:color w:val="404040"/>
                <w:sz w:val="15"/>
              </w:rPr>
              <w:t>J02</w:t>
            </w:r>
          </w:p>
        </w:tc>
        <w:tc>
          <w:tcPr>
            <w:tcW w:type="dxa" w:w="3408"/>
            <w:vAlign w:val="top"/>
            <w:shd w:fill="F2F2F2"/>
          </w:tcPr>
          <w:p>
            <w:pPr>
              <w:spacing w:after="0"/>
            </w:pPr>
            <w:r/>
            <w:r>
              <w:rPr>
                <w:rFonts w:ascii="Arial" w:hAnsi="Arial"/>
                <w:b w:val="0"/>
                <w:color w:val="404040"/>
                <w:sz w:val="15"/>
              </w:rPr>
              <w:t>Site execution</w:t>
            </w:r>
          </w:p>
        </w:tc>
        <w:tc>
          <w:tcPr>
            <w:tcW w:type="dxa" w:w="3408"/>
            <w:vAlign w:val="top"/>
            <w:shd w:fill="F2F2F2"/>
          </w:tcPr>
          <w:p>
            <w:pPr>
              <w:spacing w:after="0"/>
            </w:pPr>
            <w:r/>
            <w:r>
              <w:rPr>
                <w:rFonts w:ascii="Arial" w:hAnsi="Arial"/>
                <w:b w:val="0"/>
                <w:color w:val="404040"/>
                <w:sz w:val="15"/>
              </w:rPr>
              <w:t>PM/SM plan → Foreman assignment → worker task update → progress reported</w:t>
            </w:r>
          </w:p>
        </w:tc>
      </w:tr>
      <w:tr>
        <w:tc>
          <w:tcPr>
            <w:tcW w:type="dxa" w:w="3408"/>
            <w:vAlign w:val="top"/>
            <w:shd w:fill="FFFFFF"/>
          </w:tcPr>
          <w:p>
            <w:pPr>
              <w:spacing w:after="0"/>
            </w:pPr>
            <w:r/>
            <w:r>
              <w:rPr>
                <w:rFonts w:ascii="Arial" w:hAnsi="Arial"/>
                <w:b w:val="0"/>
                <w:color w:val="404040"/>
                <w:sz w:val="15"/>
              </w:rPr>
              <w:t>J03</w:t>
            </w:r>
          </w:p>
        </w:tc>
        <w:tc>
          <w:tcPr>
            <w:tcW w:type="dxa" w:w="3408"/>
            <w:vAlign w:val="top"/>
            <w:shd w:fill="FFFFFF"/>
          </w:tcPr>
          <w:p>
            <w:pPr>
              <w:spacing w:after="0"/>
            </w:pPr>
            <w:r/>
            <w:r>
              <w:rPr>
                <w:rFonts w:ascii="Arial" w:hAnsi="Arial"/>
                <w:b w:val="0"/>
                <w:color w:val="404040"/>
                <w:sz w:val="15"/>
              </w:rPr>
              <w:t>Attendance</w:t>
            </w:r>
          </w:p>
        </w:tc>
        <w:tc>
          <w:tcPr>
            <w:tcW w:type="dxa" w:w="3408"/>
            <w:vAlign w:val="top"/>
            <w:shd w:fill="FFFFFF"/>
          </w:tcPr>
          <w:p>
            <w:pPr>
              <w:spacing w:after="0"/>
            </w:pPr>
            <w:r/>
            <w:r>
              <w:rPr>
                <w:rFonts w:ascii="Arial" w:hAnsi="Arial"/>
                <w:b w:val="0"/>
                <w:color w:val="404040"/>
                <w:sz w:val="15"/>
              </w:rPr>
              <w:t>Worker login → GPS check-in → check-out → manager correction path → audit</w:t>
            </w:r>
          </w:p>
        </w:tc>
      </w:tr>
      <w:tr>
        <w:tc>
          <w:tcPr>
            <w:tcW w:type="dxa" w:w="3408"/>
            <w:vAlign w:val="top"/>
            <w:shd w:fill="F2F2F2"/>
          </w:tcPr>
          <w:p>
            <w:pPr>
              <w:spacing w:after="0"/>
            </w:pPr>
            <w:r/>
            <w:r>
              <w:rPr>
                <w:rFonts w:ascii="Arial" w:hAnsi="Arial"/>
                <w:b w:val="0"/>
                <w:color w:val="404040"/>
                <w:sz w:val="15"/>
              </w:rPr>
              <w:t>J04</w:t>
            </w:r>
          </w:p>
        </w:tc>
        <w:tc>
          <w:tcPr>
            <w:tcW w:type="dxa" w:w="3408"/>
            <w:vAlign w:val="top"/>
            <w:shd w:fill="F2F2F2"/>
          </w:tcPr>
          <w:p>
            <w:pPr>
              <w:spacing w:after="0"/>
            </w:pPr>
            <w:r/>
            <w:r>
              <w:rPr>
                <w:rFonts w:ascii="Arial" w:hAnsi="Arial"/>
                <w:b w:val="0"/>
                <w:color w:val="404040"/>
                <w:sz w:val="15"/>
              </w:rPr>
              <w:t>Procurement</w:t>
            </w:r>
          </w:p>
        </w:tc>
        <w:tc>
          <w:tcPr>
            <w:tcW w:type="dxa" w:w="3408"/>
            <w:vAlign w:val="top"/>
            <w:shd w:fill="F2F2F2"/>
          </w:tcPr>
          <w:p>
            <w:pPr>
              <w:spacing w:after="0"/>
            </w:pPr>
            <w:r/>
            <w:r>
              <w:rPr>
                <w:rFonts w:ascii="Arial" w:hAnsi="Arial"/>
                <w:b w:val="0"/>
                <w:color w:val="404040"/>
                <w:sz w:val="15"/>
              </w:rPr>
              <w:t>Material request → approval → quote → PO → delivery → goods receipt → stock</w:t>
            </w:r>
          </w:p>
        </w:tc>
      </w:tr>
      <w:tr>
        <w:tc>
          <w:tcPr>
            <w:tcW w:type="dxa" w:w="3408"/>
            <w:vAlign w:val="top"/>
            <w:shd w:fill="FFFFFF"/>
          </w:tcPr>
          <w:p>
            <w:pPr>
              <w:spacing w:after="0"/>
            </w:pPr>
            <w:r/>
            <w:r>
              <w:rPr>
                <w:rFonts w:ascii="Arial" w:hAnsi="Arial"/>
                <w:b w:val="0"/>
                <w:color w:val="404040"/>
                <w:sz w:val="15"/>
              </w:rPr>
              <w:t>J05</w:t>
            </w:r>
          </w:p>
        </w:tc>
        <w:tc>
          <w:tcPr>
            <w:tcW w:type="dxa" w:w="3408"/>
            <w:vAlign w:val="top"/>
            <w:shd w:fill="FFFFFF"/>
          </w:tcPr>
          <w:p>
            <w:pPr>
              <w:spacing w:after="0"/>
            </w:pPr>
            <w:r/>
            <w:r>
              <w:rPr>
                <w:rFonts w:ascii="Arial" w:hAnsi="Arial"/>
                <w:b w:val="0"/>
                <w:color w:val="404040"/>
                <w:sz w:val="15"/>
              </w:rPr>
              <w:t>Expense</w:t>
            </w:r>
          </w:p>
        </w:tc>
        <w:tc>
          <w:tcPr>
            <w:tcW w:type="dxa" w:w="3408"/>
            <w:vAlign w:val="top"/>
            <w:shd w:fill="FFFFFF"/>
          </w:tcPr>
          <w:p>
            <w:pPr>
              <w:spacing w:after="0"/>
            </w:pPr>
            <w:r/>
            <w:r>
              <w:rPr>
                <w:rFonts w:ascii="Arial" w:hAnsi="Arial"/>
                <w:b w:val="0"/>
                <w:color w:val="404040"/>
                <w:sz w:val="15"/>
              </w:rPr>
              <w:t>Receipt capture → OCR → user review → submit → approval → finance payment</w:t>
            </w:r>
          </w:p>
        </w:tc>
      </w:tr>
      <w:tr>
        <w:tc>
          <w:tcPr>
            <w:tcW w:type="dxa" w:w="3408"/>
            <w:vAlign w:val="top"/>
            <w:shd w:fill="F2F2F2"/>
          </w:tcPr>
          <w:p>
            <w:pPr>
              <w:spacing w:after="0"/>
            </w:pPr>
            <w:r/>
            <w:r>
              <w:rPr>
                <w:rFonts w:ascii="Arial" w:hAnsi="Arial"/>
                <w:b w:val="0"/>
                <w:color w:val="404040"/>
                <w:sz w:val="15"/>
              </w:rPr>
              <w:t>J06</w:t>
            </w:r>
          </w:p>
        </w:tc>
        <w:tc>
          <w:tcPr>
            <w:tcW w:type="dxa" w:w="3408"/>
            <w:vAlign w:val="top"/>
            <w:shd w:fill="F2F2F2"/>
          </w:tcPr>
          <w:p>
            <w:pPr>
              <w:spacing w:after="0"/>
            </w:pPr>
            <w:r/>
            <w:r>
              <w:rPr>
                <w:rFonts w:ascii="Arial" w:hAnsi="Arial"/>
                <w:b w:val="0"/>
                <w:color w:val="404040"/>
                <w:sz w:val="15"/>
              </w:rPr>
              <w:t>Safety</w:t>
            </w:r>
          </w:p>
        </w:tc>
        <w:tc>
          <w:tcPr>
            <w:tcW w:type="dxa" w:w="3408"/>
            <w:vAlign w:val="top"/>
            <w:shd w:fill="F2F2F2"/>
          </w:tcPr>
          <w:p>
            <w:pPr>
              <w:spacing w:after="0"/>
            </w:pPr>
            <w:r/>
            <w:r>
              <w:rPr>
                <w:rFonts w:ascii="Arial" w:hAnsi="Arial"/>
                <w:b w:val="0"/>
                <w:color w:val="404040"/>
                <w:sz w:val="15"/>
              </w:rPr>
              <w:t>Worker reports near miss → HSE/SM receives → action → escalation if serious → closure</w:t>
            </w:r>
          </w:p>
        </w:tc>
      </w:tr>
      <w:tr>
        <w:tc>
          <w:tcPr>
            <w:tcW w:type="dxa" w:w="3408"/>
            <w:vAlign w:val="top"/>
            <w:shd w:fill="FFFFFF"/>
          </w:tcPr>
          <w:p>
            <w:pPr>
              <w:spacing w:after="0"/>
            </w:pPr>
            <w:r/>
            <w:r>
              <w:rPr>
                <w:rFonts w:ascii="Arial" w:hAnsi="Arial"/>
                <w:b w:val="0"/>
                <w:color w:val="404040"/>
                <w:sz w:val="15"/>
              </w:rPr>
              <w:t>J07</w:t>
            </w:r>
          </w:p>
        </w:tc>
        <w:tc>
          <w:tcPr>
            <w:tcW w:type="dxa" w:w="3408"/>
            <w:vAlign w:val="top"/>
            <w:shd w:fill="FFFFFF"/>
          </w:tcPr>
          <w:p>
            <w:pPr>
              <w:spacing w:after="0"/>
            </w:pPr>
            <w:r/>
            <w:r>
              <w:rPr>
                <w:rFonts w:ascii="Arial" w:hAnsi="Arial"/>
                <w:b w:val="0"/>
                <w:color w:val="404040"/>
                <w:sz w:val="15"/>
              </w:rPr>
              <w:t>Quality</w:t>
            </w:r>
          </w:p>
        </w:tc>
        <w:tc>
          <w:tcPr>
            <w:tcW w:type="dxa" w:w="3408"/>
            <w:vAlign w:val="top"/>
            <w:shd w:fill="FFFFFF"/>
          </w:tcPr>
          <w:p>
            <w:pPr>
              <w:spacing w:after="0"/>
            </w:pPr>
            <w:r/>
            <w:r>
              <w:rPr>
                <w:rFonts w:ascii="Arial" w:hAnsi="Arial"/>
                <w:b w:val="0"/>
                <w:color w:val="404040"/>
                <w:sz w:val="15"/>
              </w:rPr>
              <w:t>Inspection → defect → corrective action → evidence → verification → close</w:t>
            </w:r>
          </w:p>
        </w:tc>
      </w:tr>
      <w:tr>
        <w:tc>
          <w:tcPr>
            <w:tcW w:type="dxa" w:w="3408"/>
            <w:vAlign w:val="top"/>
            <w:shd w:fill="F2F2F2"/>
          </w:tcPr>
          <w:p>
            <w:pPr>
              <w:spacing w:after="0"/>
            </w:pPr>
            <w:r/>
            <w:r>
              <w:rPr>
                <w:rFonts w:ascii="Arial" w:hAnsi="Arial"/>
                <w:b w:val="0"/>
                <w:color w:val="404040"/>
                <w:sz w:val="15"/>
              </w:rPr>
              <w:t>J08</w:t>
            </w:r>
          </w:p>
        </w:tc>
        <w:tc>
          <w:tcPr>
            <w:tcW w:type="dxa" w:w="3408"/>
            <w:vAlign w:val="top"/>
            <w:shd w:fill="F2F2F2"/>
          </w:tcPr>
          <w:p>
            <w:pPr>
              <w:spacing w:after="0"/>
            </w:pPr>
            <w:r/>
            <w:r>
              <w:rPr>
                <w:rFonts w:ascii="Arial" w:hAnsi="Arial"/>
                <w:b w:val="0"/>
                <w:color w:val="404040"/>
                <w:sz w:val="15"/>
              </w:rPr>
              <w:t>Technical change</w:t>
            </w:r>
          </w:p>
        </w:tc>
        <w:tc>
          <w:tcPr>
            <w:tcW w:type="dxa" w:w="3408"/>
            <w:vAlign w:val="top"/>
            <w:shd w:fill="F2F2F2"/>
          </w:tcPr>
          <w:p>
            <w:pPr>
              <w:spacing w:after="0"/>
            </w:pPr>
            <w:r/>
            <w:r>
              <w:rPr>
                <w:rFonts w:ascii="Arial" w:hAnsi="Arial"/>
                <w:b w:val="0"/>
                <w:color w:val="404040"/>
                <w:sz w:val="15"/>
              </w:rPr>
              <w:t>RFI → answer → technical approval → field instruction → implementation evidence</w:t>
            </w:r>
          </w:p>
        </w:tc>
      </w:tr>
      <w:tr>
        <w:tc>
          <w:tcPr>
            <w:tcW w:type="dxa" w:w="3408"/>
            <w:vAlign w:val="top"/>
            <w:shd w:fill="FFFFFF"/>
          </w:tcPr>
          <w:p>
            <w:pPr>
              <w:spacing w:after="0"/>
            </w:pPr>
            <w:r/>
            <w:r>
              <w:rPr>
                <w:rFonts w:ascii="Arial" w:hAnsi="Arial"/>
                <w:b w:val="0"/>
                <w:color w:val="404040"/>
                <w:sz w:val="15"/>
              </w:rPr>
              <w:t>J09</w:t>
            </w:r>
          </w:p>
        </w:tc>
        <w:tc>
          <w:tcPr>
            <w:tcW w:type="dxa" w:w="3408"/>
            <w:vAlign w:val="top"/>
            <w:shd w:fill="FFFFFF"/>
          </w:tcPr>
          <w:p>
            <w:pPr>
              <w:spacing w:after="0"/>
            </w:pPr>
            <w:r/>
            <w:r>
              <w:rPr>
                <w:rFonts w:ascii="Arial" w:hAnsi="Arial"/>
                <w:b w:val="0"/>
                <w:color w:val="404040"/>
                <w:sz w:val="15"/>
              </w:rPr>
              <w:t>Handover</w:t>
            </w:r>
          </w:p>
        </w:tc>
        <w:tc>
          <w:tcPr>
            <w:tcW w:type="dxa" w:w="3408"/>
            <w:vAlign w:val="top"/>
            <w:shd w:fill="FFFFFF"/>
          </w:tcPr>
          <w:p>
            <w:pPr>
              <w:spacing w:after="0"/>
            </w:pPr>
            <w:r/>
            <w:r>
              <w:rPr>
                <w:rFonts w:ascii="Arial" w:hAnsi="Arial"/>
                <w:b w:val="0"/>
                <w:color w:val="404040"/>
                <w:sz w:val="15"/>
              </w:rPr>
              <w:t>Commissioning → document completeness → client/PM acceptance → O&amp;M asset creation</w:t>
            </w:r>
          </w:p>
        </w:tc>
      </w:tr>
      <w:tr>
        <w:tc>
          <w:tcPr>
            <w:tcW w:type="dxa" w:w="3408"/>
            <w:vAlign w:val="top"/>
            <w:shd w:fill="F2F2F2"/>
          </w:tcPr>
          <w:p>
            <w:pPr>
              <w:spacing w:after="0"/>
            </w:pPr>
            <w:r/>
            <w:r>
              <w:rPr>
                <w:rFonts w:ascii="Arial" w:hAnsi="Arial"/>
                <w:b w:val="0"/>
                <w:color w:val="404040"/>
                <w:sz w:val="15"/>
              </w:rPr>
              <w:t>J10</w:t>
            </w:r>
          </w:p>
        </w:tc>
        <w:tc>
          <w:tcPr>
            <w:tcW w:type="dxa" w:w="3408"/>
            <w:vAlign w:val="top"/>
            <w:shd w:fill="F2F2F2"/>
          </w:tcPr>
          <w:p>
            <w:pPr>
              <w:spacing w:after="0"/>
            </w:pPr>
            <w:r/>
            <w:r>
              <w:rPr>
                <w:rFonts w:ascii="Arial" w:hAnsi="Arial"/>
                <w:b w:val="0"/>
                <w:color w:val="404040"/>
                <w:sz w:val="15"/>
              </w:rPr>
              <w:t>Offline</w:t>
            </w:r>
          </w:p>
        </w:tc>
        <w:tc>
          <w:tcPr>
            <w:tcW w:type="dxa" w:w="3408"/>
            <w:vAlign w:val="top"/>
            <w:shd w:fill="F2F2F2"/>
          </w:tcPr>
          <w:p>
            <w:pPr>
              <w:spacing w:after="0"/>
            </w:pPr>
            <w:r/>
            <w:r>
              <w:rPr>
                <w:rFonts w:ascii="Arial" w:hAnsi="Arial"/>
                <w:b w:val="0"/>
                <w:color w:val="404040"/>
                <w:sz w:val="15"/>
              </w:rPr>
              <w:t>Create supported action offline → close/reopen network → sync → no duplicate → conflict path where needed</w:t>
            </w:r>
          </w:p>
        </w:tc>
      </w:tr>
    </w:tbl>
    <w:p>
      <w:pPr>
        <w:spacing w:after="40"/>
      </w:pPr>
    </w:p>
    <w:p>
      <w:pPr>
        <w:pStyle w:val="Heading1"/>
      </w:pPr>
      <w:r>
        <w:t>10. Recommended implementation order</w:t>
      </w:r>
    </w:p>
    <w:tbl>
      <w:tblPr>
        <w:tblStyle w:val="TableGrid"/>
        <w:tblW w:type="auto" w:w="0"/>
        <w:jc w:val="center"/>
        <w:tblLook w:firstColumn="1" w:firstRow="1" w:lastColumn="0" w:lastRow="0" w:noHBand="0" w:noVBand="1" w:val="04A0"/>
      </w:tblPr>
      <w:tblGrid>
        <w:gridCol w:w="10224"/>
      </w:tblGrid>
      <w:tr>
        <w:tc>
          <w:tcPr>
            <w:tcW w:type="dxa" w:w="10224"/>
            <w:shd w:fill="D9EAF7"/>
          </w:tcPr>
          <w:p>
            <w:pPr>
              <w:spacing w:after="40"/>
            </w:pPr>
            <w:r>
              <w:rPr>
                <w:b/>
                <w:color w:val="17365D"/>
                <w:sz w:val="19"/>
              </w:rPr>
              <w:t>Why this order</w:t>
            </w:r>
          </w:p>
          <w:p>
            <w:pPr>
              <w:spacing w:after="0"/>
            </w:pPr>
            <w:r>
              <w:rPr>
                <w:color w:val="404040"/>
                <w:sz w:val="18"/>
              </w:rPr>
              <w:t>The sequence starts with authorization and state models because later workflows depend on correct ownership boundaries. It then adds execution/procurement/controls, followed by mobile readiness, hardening, and production.</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Wave</w:t>
            </w:r>
          </w:p>
        </w:tc>
        <w:tc>
          <w:tcPr>
            <w:tcW w:type="dxa" w:w="3408"/>
            <w:vAlign w:val="top"/>
            <w:shd w:fill="17365D"/>
          </w:tcPr>
          <w:p>
            <w:pPr>
              <w:spacing w:after="0"/>
            </w:pPr>
            <w:r/>
            <w:r>
              <w:rPr>
                <w:rFonts w:ascii="Arial" w:hAnsi="Arial"/>
                <w:b/>
                <w:color w:val="FFFFFF"/>
                <w:sz w:val="15"/>
              </w:rPr>
              <w:t>Build order</w:t>
            </w:r>
          </w:p>
        </w:tc>
        <w:tc>
          <w:tcPr>
            <w:tcW w:type="dxa" w:w="3408"/>
            <w:vAlign w:val="top"/>
            <w:shd w:fill="17365D"/>
          </w:tcPr>
          <w:p>
            <w:pPr>
              <w:spacing w:after="0"/>
            </w:pPr>
            <w:r/>
            <w:r>
              <w:rPr>
                <w:rFonts w:ascii="Arial" w:hAnsi="Arial"/>
                <w:b/>
                <w:color w:val="FFFFFF"/>
                <w:sz w:val="15"/>
              </w:rPr>
              <w:t>Exit condition</w:t>
            </w:r>
          </w:p>
        </w:tc>
      </w:tr>
      <w:tr>
        <w:tc>
          <w:tcPr>
            <w:tcW w:type="dxa" w:w="3408"/>
            <w:vAlign w:val="top"/>
            <w:shd w:fill="FFFFFF"/>
          </w:tcPr>
          <w:p>
            <w:pPr>
              <w:spacing w:after="0"/>
            </w:pPr>
            <w:r/>
            <w:r>
              <w:rPr>
                <w:rFonts w:ascii="Arial" w:hAnsi="Arial"/>
                <w:b w:val="0"/>
                <w:color w:val="404040"/>
                <w:sz w:val="15"/>
              </w:rPr>
              <w:t>Wave 0 — decisions</w:t>
            </w:r>
          </w:p>
        </w:tc>
        <w:tc>
          <w:tcPr>
            <w:tcW w:type="dxa" w:w="3408"/>
            <w:vAlign w:val="top"/>
            <w:shd w:fill="FFFFFF"/>
          </w:tcPr>
          <w:p>
            <w:pPr>
              <w:spacing w:after="0"/>
            </w:pPr>
            <w:r/>
            <w:r>
              <w:rPr>
                <w:rFonts w:ascii="Arial" w:hAnsi="Arial"/>
                <w:b w:val="0"/>
                <w:color w:val="404040"/>
                <w:sz w:val="15"/>
              </w:rPr>
              <w:t>Resolve Team Leader vs Foreman; confirm file/OCR architecture; approve role scope and approval matrix</w:t>
            </w:r>
          </w:p>
        </w:tc>
        <w:tc>
          <w:tcPr>
            <w:tcW w:type="dxa" w:w="3408"/>
            <w:vAlign w:val="top"/>
            <w:shd w:fill="FFFFFF"/>
          </w:tcPr>
          <w:p>
            <w:pPr>
              <w:spacing w:after="0"/>
            </w:pPr>
            <w:r/>
            <w:r>
              <w:rPr>
                <w:rFonts w:ascii="Arial" w:hAnsi="Arial"/>
                <w:b w:val="0"/>
                <w:color w:val="404040"/>
                <w:sz w:val="15"/>
              </w:rPr>
              <w:t>Signed decisions recorded in project docs</w:t>
            </w:r>
          </w:p>
        </w:tc>
      </w:tr>
      <w:tr>
        <w:tc>
          <w:tcPr>
            <w:tcW w:type="dxa" w:w="3408"/>
            <w:vAlign w:val="top"/>
            <w:shd w:fill="F2F2F2"/>
          </w:tcPr>
          <w:p>
            <w:pPr>
              <w:spacing w:after="0"/>
            </w:pPr>
            <w:r/>
            <w:r>
              <w:rPr>
                <w:rFonts w:ascii="Arial" w:hAnsi="Arial"/>
                <w:b w:val="0"/>
                <w:color w:val="404040"/>
                <w:sz w:val="15"/>
              </w:rPr>
              <w:t>Wave 1 — identity &amp; control</w:t>
            </w:r>
          </w:p>
        </w:tc>
        <w:tc>
          <w:tcPr>
            <w:tcW w:type="dxa" w:w="3408"/>
            <w:vAlign w:val="top"/>
            <w:shd w:fill="F2F2F2"/>
          </w:tcPr>
          <w:p>
            <w:pPr>
              <w:spacing w:after="0"/>
            </w:pPr>
            <w:r/>
            <w:r>
              <w:rPr>
                <w:rFonts w:ascii="Arial" w:hAnsi="Arial"/>
                <w:b w:val="0"/>
                <w:color w:val="404040"/>
                <w:sz w:val="15"/>
              </w:rPr>
              <w:t>GAP-01, GAP-13</w:t>
            </w:r>
          </w:p>
        </w:tc>
        <w:tc>
          <w:tcPr>
            <w:tcW w:type="dxa" w:w="3408"/>
            <w:vAlign w:val="top"/>
            <w:shd w:fill="F2F2F2"/>
          </w:tcPr>
          <w:p>
            <w:pPr>
              <w:spacing w:after="0"/>
            </w:pPr>
            <w:r/>
            <w:r>
              <w:rPr>
                <w:rFonts w:ascii="Arial" w:hAnsi="Arial"/>
                <w:b w:val="0"/>
                <w:color w:val="404040"/>
                <w:sz w:val="15"/>
              </w:rPr>
              <w:t>Real mobile auth + scope-aware authorization</w:t>
            </w:r>
          </w:p>
        </w:tc>
      </w:tr>
      <w:tr>
        <w:tc>
          <w:tcPr>
            <w:tcW w:type="dxa" w:w="3408"/>
            <w:vAlign w:val="top"/>
            <w:shd w:fill="FFFFFF"/>
          </w:tcPr>
          <w:p>
            <w:pPr>
              <w:spacing w:after="0"/>
            </w:pPr>
            <w:r/>
            <w:r>
              <w:rPr>
                <w:rFonts w:ascii="Arial" w:hAnsi="Arial"/>
                <w:b w:val="0"/>
                <w:color w:val="404040"/>
                <w:sz w:val="15"/>
              </w:rPr>
              <w:t>Wave 2 — execution</w:t>
            </w:r>
          </w:p>
        </w:tc>
        <w:tc>
          <w:tcPr>
            <w:tcW w:type="dxa" w:w="3408"/>
            <w:vAlign w:val="top"/>
            <w:shd w:fill="FFFFFF"/>
          </w:tcPr>
          <w:p>
            <w:pPr>
              <w:spacing w:after="0"/>
            </w:pPr>
            <w:r/>
            <w:r>
              <w:rPr>
                <w:rFonts w:ascii="Arial" w:hAnsi="Arial"/>
                <w:b w:val="0"/>
                <w:color w:val="404040"/>
                <w:sz w:val="15"/>
              </w:rPr>
              <w:t>GAP-02, GAP-03, GAP-21</w:t>
            </w:r>
          </w:p>
        </w:tc>
        <w:tc>
          <w:tcPr>
            <w:tcW w:type="dxa" w:w="3408"/>
            <w:vAlign w:val="top"/>
            <w:shd w:fill="FFFFFF"/>
          </w:tcPr>
          <w:p>
            <w:pPr>
              <w:spacing w:after="0"/>
            </w:pPr>
            <w:r/>
            <w:r>
              <w:rPr>
                <w:rFonts w:ascii="Arial" w:hAnsi="Arial"/>
                <w:b w:val="0"/>
                <w:color w:val="404040"/>
                <w:sz w:val="15"/>
              </w:rPr>
              <w:t>PM → SM → Foreman operational chain works</w:t>
            </w:r>
          </w:p>
        </w:tc>
      </w:tr>
      <w:tr>
        <w:tc>
          <w:tcPr>
            <w:tcW w:type="dxa" w:w="3408"/>
            <w:vAlign w:val="top"/>
            <w:shd w:fill="F2F2F2"/>
          </w:tcPr>
          <w:p>
            <w:pPr>
              <w:spacing w:after="0"/>
            </w:pPr>
            <w:r/>
            <w:r>
              <w:rPr>
                <w:rFonts w:ascii="Arial" w:hAnsi="Arial"/>
                <w:b w:val="0"/>
                <w:color w:val="404040"/>
                <w:sz w:val="15"/>
              </w:rPr>
              <w:t>Wave 3 — logistics</w:t>
            </w:r>
          </w:p>
        </w:tc>
        <w:tc>
          <w:tcPr>
            <w:tcW w:type="dxa" w:w="3408"/>
            <w:vAlign w:val="top"/>
            <w:shd w:fill="F2F2F2"/>
          </w:tcPr>
          <w:p>
            <w:pPr>
              <w:spacing w:after="0"/>
            </w:pPr>
            <w:r/>
            <w:r>
              <w:rPr>
                <w:rFonts w:ascii="Arial" w:hAnsi="Arial"/>
                <w:b w:val="0"/>
                <w:color w:val="404040"/>
                <w:sz w:val="15"/>
              </w:rPr>
              <w:t>GAP-04, GAP-05, GAP-10</w:t>
            </w:r>
          </w:p>
        </w:tc>
        <w:tc>
          <w:tcPr>
            <w:tcW w:type="dxa" w:w="3408"/>
            <w:vAlign w:val="top"/>
            <w:shd w:fill="F2F2F2"/>
          </w:tcPr>
          <w:p>
            <w:pPr>
              <w:spacing w:after="0"/>
            </w:pPr>
            <w:r/>
            <w:r>
              <w:rPr>
                <w:rFonts w:ascii="Arial" w:hAnsi="Arial"/>
                <w:b w:val="0"/>
                <w:color w:val="404040"/>
                <w:sz w:val="15"/>
              </w:rPr>
              <w:t>Procurement-to-stock and subcontractor workflows work</w:t>
            </w:r>
          </w:p>
        </w:tc>
      </w:tr>
      <w:tr>
        <w:tc>
          <w:tcPr>
            <w:tcW w:type="dxa" w:w="3408"/>
            <w:vAlign w:val="top"/>
            <w:shd w:fill="FFFFFF"/>
          </w:tcPr>
          <w:p>
            <w:pPr>
              <w:spacing w:after="0"/>
            </w:pPr>
            <w:r/>
            <w:r>
              <w:rPr>
                <w:rFonts w:ascii="Arial" w:hAnsi="Arial"/>
                <w:b w:val="0"/>
                <w:color w:val="404040"/>
                <w:sz w:val="15"/>
              </w:rPr>
              <w:t>Wave 4 — quality &amp; safety</w:t>
            </w:r>
          </w:p>
        </w:tc>
        <w:tc>
          <w:tcPr>
            <w:tcW w:type="dxa" w:w="3408"/>
            <w:vAlign w:val="top"/>
            <w:shd w:fill="FFFFFF"/>
          </w:tcPr>
          <w:p>
            <w:pPr>
              <w:spacing w:after="0"/>
            </w:pPr>
            <w:r/>
            <w:r>
              <w:rPr>
                <w:rFonts w:ascii="Arial" w:hAnsi="Arial"/>
                <w:b w:val="0"/>
                <w:color w:val="404040"/>
                <w:sz w:val="15"/>
              </w:rPr>
              <w:t>GAP-06, GAP-07, GAP-08, GAP-11</w:t>
            </w:r>
          </w:p>
        </w:tc>
        <w:tc>
          <w:tcPr>
            <w:tcW w:type="dxa" w:w="3408"/>
            <w:vAlign w:val="top"/>
            <w:shd w:fill="FFFFFF"/>
          </w:tcPr>
          <w:p>
            <w:pPr>
              <w:spacing w:after="0"/>
            </w:pPr>
            <w:r/>
            <w:r>
              <w:rPr>
                <w:rFonts w:ascii="Arial" w:hAnsi="Arial"/>
                <w:b w:val="0"/>
                <w:color w:val="404040"/>
                <w:sz w:val="15"/>
              </w:rPr>
              <w:t>Site governance and technical control work</w:t>
            </w:r>
          </w:p>
        </w:tc>
      </w:tr>
      <w:tr>
        <w:tc>
          <w:tcPr>
            <w:tcW w:type="dxa" w:w="3408"/>
            <w:vAlign w:val="top"/>
            <w:shd w:fill="F2F2F2"/>
          </w:tcPr>
          <w:p>
            <w:pPr>
              <w:spacing w:after="0"/>
            </w:pPr>
            <w:r/>
            <w:r>
              <w:rPr>
                <w:rFonts w:ascii="Arial" w:hAnsi="Arial"/>
                <w:b w:val="0"/>
                <w:color w:val="404040"/>
                <w:sz w:val="15"/>
              </w:rPr>
              <w:t>Wave 5 — documents &amp; finance</w:t>
            </w:r>
          </w:p>
        </w:tc>
        <w:tc>
          <w:tcPr>
            <w:tcW w:type="dxa" w:w="3408"/>
            <w:vAlign w:val="top"/>
            <w:shd w:fill="F2F2F2"/>
          </w:tcPr>
          <w:p>
            <w:pPr>
              <w:spacing w:after="0"/>
            </w:pPr>
            <w:r/>
            <w:r>
              <w:rPr>
                <w:rFonts w:ascii="Arial" w:hAnsi="Arial"/>
                <w:b w:val="0"/>
                <w:color w:val="404040"/>
                <w:sz w:val="15"/>
              </w:rPr>
              <w:t>GAP-09, GAP-15, GAP-16, GAP-17</w:t>
            </w:r>
          </w:p>
        </w:tc>
        <w:tc>
          <w:tcPr>
            <w:tcW w:type="dxa" w:w="3408"/>
            <w:vAlign w:val="top"/>
            <w:shd w:fill="F2F2F2"/>
          </w:tcPr>
          <w:p>
            <w:pPr>
              <w:spacing w:after="0"/>
            </w:pPr>
            <w:r/>
            <w:r>
              <w:rPr>
                <w:rFonts w:ascii="Arial" w:hAnsi="Arial"/>
                <w:b w:val="0"/>
                <w:color w:val="404040"/>
                <w:sz w:val="15"/>
              </w:rPr>
              <w:t>Documents, expenses and notifications fully controlled</w:t>
            </w:r>
          </w:p>
        </w:tc>
      </w:tr>
      <w:tr>
        <w:tc>
          <w:tcPr>
            <w:tcW w:type="dxa" w:w="3408"/>
            <w:vAlign w:val="top"/>
            <w:shd w:fill="FFFFFF"/>
          </w:tcPr>
          <w:p>
            <w:pPr>
              <w:spacing w:after="0"/>
            </w:pPr>
            <w:r/>
            <w:r>
              <w:rPr>
                <w:rFonts w:ascii="Arial" w:hAnsi="Arial"/>
                <w:b w:val="0"/>
                <w:color w:val="404040"/>
                <w:sz w:val="15"/>
              </w:rPr>
              <w:t>Wave 6 — handover &amp; O&amp;M</w:t>
            </w:r>
          </w:p>
        </w:tc>
        <w:tc>
          <w:tcPr>
            <w:tcW w:type="dxa" w:w="3408"/>
            <w:vAlign w:val="top"/>
            <w:shd w:fill="FFFFFF"/>
          </w:tcPr>
          <w:p>
            <w:pPr>
              <w:spacing w:after="0"/>
            </w:pPr>
            <w:r/>
            <w:r>
              <w:rPr>
                <w:rFonts w:ascii="Arial" w:hAnsi="Arial"/>
                <w:b w:val="0"/>
                <w:color w:val="404040"/>
                <w:sz w:val="15"/>
              </w:rPr>
              <w:t>GAP-12</w:t>
            </w:r>
          </w:p>
        </w:tc>
        <w:tc>
          <w:tcPr>
            <w:tcW w:type="dxa" w:w="3408"/>
            <w:vAlign w:val="top"/>
            <w:shd w:fill="FFFFFF"/>
          </w:tcPr>
          <w:p>
            <w:pPr>
              <w:spacing w:after="0"/>
            </w:pPr>
            <w:r/>
            <w:r>
              <w:rPr>
                <w:rFonts w:ascii="Arial" w:hAnsi="Arial"/>
                <w:b w:val="0"/>
                <w:color w:val="404040"/>
                <w:sz w:val="15"/>
              </w:rPr>
              <w:t>EPC → O&amp;M transition is traceable</w:t>
            </w:r>
          </w:p>
        </w:tc>
      </w:tr>
      <w:tr>
        <w:tc>
          <w:tcPr>
            <w:tcW w:type="dxa" w:w="3408"/>
            <w:vAlign w:val="top"/>
            <w:shd w:fill="F2F2F2"/>
          </w:tcPr>
          <w:p>
            <w:pPr>
              <w:spacing w:after="0"/>
            </w:pPr>
            <w:r/>
            <w:r>
              <w:rPr>
                <w:rFonts w:ascii="Arial" w:hAnsi="Arial"/>
                <w:b w:val="0"/>
                <w:color w:val="404040"/>
                <w:sz w:val="15"/>
              </w:rPr>
              <w:t>Wave 7 — mobile resilience</w:t>
            </w:r>
          </w:p>
        </w:tc>
        <w:tc>
          <w:tcPr>
            <w:tcW w:type="dxa" w:w="3408"/>
            <w:vAlign w:val="top"/>
            <w:shd w:fill="F2F2F2"/>
          </w:tcPr>
          <w:p>
            <w:pPr>
              <w:spacing w:after="0"/>
            </w:pPr>
            <w:r/>
            <w:r>
              <w:rPr>
                <w:rFonts w:ascii="Arial" w:hAnsi="Arial"/>
                <w:b w:val="0"/>
                <w:color w:val="404040"/>
                <w:sz w:val="15"/>
              </w:rPr>
              <w:t>GAP-14</w:t>
            </w:r>
          </w:p>
        </w:tc>
        <w:tc>
          <w:tcPr>
            <w:tcW w:type="dxa" w:w="3408"/>
            <w:vAlign w:val="top"/>
            <w:shd w:fill="F2F2F2"/>
          </w:tcPr>
          <w:p>
            <w:pPr>
              <w:spacing w:after="0"/>
            </w:pPr>
            <w:r/>
            <w:r>
              <w:rPr>
                <w:rFonts w:ascii="Arial" w:hAnsi="Arial"/>
                <w:b w:val="0"/>
                <w:color w:val="404040"/>
                <w:sz w:val="15"/>
              </w:rPr>
              <w:t>Offline flows pass conflict/idempotency tests</w:t>
            </w:r>
          </w:p>
        </w:tc>
      </w:tr>
      <w:tr>
        <w:tc>
          <w:tcPr>
            <w:tcW w:type="dxa" w:w="3408"/>
            <w:vAlign w:val="top"/>
            <w:shd w:fill="FFFFFF"/>
          </w:tcPr>
          <w:p>
            <w:pPr>
              <w:spacing w:after="0"/>
            </w:pPr>
            <w:r/>
            <w:r>
              <w:rPr>
                <w:rFonts w:ascii="Arial" w:hAnsi="Arial"/>
                <w:b w:val="0"/>
                <w:color w:val="404040"/>
                <w:sz w:val="15"/>
              </w:rPr>
              <w:t>Wave 8 — cleanup &amp; production</w:t>
            </w:r>
          </w:p>
        </w:tc>
        <w:tc>
          <w:tcPr>
            <w:tcW w:type="dxa" w:w="3408"/>
            <w:vAlign w:val="top"/>
            <w:shd w:fill="FFFFFF"/>
          </w:tcPr>
          <w:p>
            <w:pPr>
              <w:spacing w:after="0"/>
            </w:pPr>
            <w:r/>
            <w:r>
              <w:rPr>
                <w:rFonts w:ascii="Arial" w:hAnsi="Arial"/>
                <w:b w:val="0"/>
                <w:color w:val="404040"/>
                <w:sz w:val="15"/>
              </w:rPr>
              <w:t>GAP-18, GAP-19, GAP-20</w:t>
            </w:r>
          </w:p>
        </w:tc>
        <w:tc>
          <w:tcPr>
            <w:tcW w:type="dxa" w:w="3408"/>
            <w:vAlign w:val="top"/>
            <w:shd w:fill="FFFFFF"/>
          </w:tcPr>
          <w:p>
            <w:pPr>
              <w:spacing w:after="0"/>
            </w:pPr>
            <w:r/>
            <w:r>
              <w:rPr>
                <w:rFonts w:ascii="Arial" w:hAnsi="Arial"/>
                <w:b w:val="0"/>
                <w:color w:val="404040"/>
                <w:sz w:val="15"/>
              </w:rPr>
              <w:t>Staging passes; production checklist signed</w:t>
            </w:r>
          </w:p>
        </w:tc>
      </w:tr>
    </w:tbl>
    <w:p>
      <w:pPr>
        <w:spacing w:after="40"/>
      </w:pPr>
    </w:p>
    <w:p>
      <w:pPr>
        <w:pStyle w:val="Heading1"/>
      </w:pPr>
      <w:r>
        <w:t>11. Decisions required before build</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17365D"/>
          </w:tcPr>
          <w:p>
            <w:pPr>
              <w:spacing w:after="0"/>
            </w:pPr>
            <w:r/>
            <w:r>
              <w:rPr>
                <w:rFonts w:ascii="Arial" w:hAnsi="Arial"/>
                <w:b/>
                <w:color w:val="FFFFFF"/>
                <w:sz w:val="15"/>
              </w:rPr>
              <w:t>Decision</w:t>
            </w:r>
          </w:p>
        </w:tc>
        <w:tc>
          <w:tcPr>
            <w:tcW w:type="dxa" w:w="3408"/>
            <w:vAlign w:val="top"/>
            <w:shd w:fill="17365D"/>
          </w:tcPr>
          <w:p>
            <w:pPr>
              <w:spacing w:after="0"/>
            </w:pPr>
            <w:r/>
            <w:r>
              <w:rPr>
                <w:rFonts w:ascii="Arial" w:hAnsi="Arial"/>
                <w:b/>
                <w:color w:val="FFFFFF"/>
                <w:sz w:val="15"/>
              </w:rPr>
              <w:t>Why it matters</w:t>
            </w:r>
          </w:p>
        </w:tc>
        <w:tc>
          <w:tcPr>
            <w:tcW w:type="dxa" w:w="3408"/>
            <w:vAlign w:val="top"/>
            <w:shd w:fill="17365D"/>
          </w:tcPr>
          <w:p>
            <w:pPr>
              <w:spacing w:after="0"/>
            </w:pPr>
            <w:r/>
            <w:r>
              <w:rPr>
                <w:rFonts w:ascii="Arial" w:hAnsi="Arial"/>
                <w:b/>
                <w:color w:val="FFFFFF"/>
                <w:sz w:val="15"/>
              </w:rPr>
              <w:t>Default proposed treatment</w:t>
            </w:r>
          </w:p>
        </w:tc>
      </w:tr>
      <w:tr>
        <w:tc>
          <w:tcPr>
            <w:tcW w:type="dxa" w:w="3408"/>
            <w:vAlign w:val="top"/>
            <w:shd w:fill="FFFFFF"/>
          </w:tcPr>
          <w:p>
            <w:pPr>
              <w:spacing w:after="0"/>
            </w:pPr>
            <w:r/>
            <w:r>
              <w:rPr>
                <w:rFonts w:ascii="Arial" w:hAnsi="Arial"/>
                <w:b w:val="0"/>
                <w:color w:val="404040"/>
                <w:sz w:val="15"/>
              </w:rPr>
              <w:t>Team Leader vs Foreman</w:t>
            </w:r>
          </w:p>
        </w:tc>
        <w:tc>
          <w:tcPr>
            <w:tcW w:type="dxa" w:w="3408"/>
            <w:vAlign w:val="top"/>
            <w:shd w:fill="FFFFFF"/>
          </w:tcPr>
          <w:p>
            <w:pPr>
              <w:spacing w:after="0"/>
            </w:pPr>
            <w:r/>
            <w:r>
              <w:rPr>
                <w:rFonts w:ascii="Arial" w:hAnsi="Arial"/>
                <w:b w:val="0"/>
                <w:color w:val="404040"/>
                <w:sz w:val="15"/>
              </w:rPr>
              <w:t>Current app role says team_leader; company documents say Foreman</w:t>
            </w:r>
          </w:p>
        </w:tc>
        <w:tc>
          <w:tcPr>
            <w:tcW w:type="dxa" w:w="3408"/>
            <w:vAlign w:val="top"/>
            <w:shd w:fill="FFFFFF"/>
          </w:tcPr>
          <w:p>
            <w:pPr>
              <w:spacing w:after="0"/>
            </w:pPr>
            <w:r/>
            <w:r>
              <w:rPr>
                <w:rFonts w:ascii="Arial" w:hAnsi="Arial"/>
                <w:b w:val="0"/>
                <w:color w:val="404040"/>
                <w:sz w:val="15"/>
              </w:rPr>
              <w:t>Use Foreman as formal role; keep a mapping alias only if HR/operations confirms they are identical.</w:t>
            </w:r>
          </w:p>
        </w:tc>
      </w:tr>
      <w:tr>
        <w:tc>
          <w:tcPr>
            <w:tcW w:type="dxa" w:w="3408"/>
            <w:vAlign w:val="top"/>
            <w:shd w:fill="F2F2F2"/>
          </w:tcPr>
          <w:p>
            <w:pPr>
              <w:spacing w:after="0"/>
            </w:pPr>
            <w:r/>
            <w:r>
              <w:rPr>
                <w:rFonts w:ascii="Arial" w:hAnsi="Arial"/>
                <w:b w:val="0"/>
                <w:color w:val="404040"/>
                <w:sz w:val="15"/>
              </w:rPr>
              <w:t>Site Manager scope</w:t>
            </w:r>
          </w:p>
        </w:tc>
        <w:tc>
          <w:tcPr>
            <w:tcW w:type="dxa" w:w="3408"/>
            <w:vAlign w:val="top"/>
            <w:shd w:fill="F2F2F2"/>
          </w:tcPr>
          <w:p>
            <w:pPr>
              <w:spacing w:after="0"/>
            </w:pPr>
            <w:r/>
            <w:r>
              <w:rPr>
                <w:rFonts w:ascii="Arial" w:hAnsi="Arial"/>
                <w:b w:val="0"/>
                <w:color w:val="404040"/>
                <w:sz w:val="15"/>
              </w:rPr>
              <w:t>Document allows one SM per defined execution scope/shift</w:t>
            </w:r>
          </w:p>
        </w:tc>
        <w:tc>
          <w:tcPr>
            <w:tcW w:type="dxa" w:w="3408"/>
            <w:vAlign w:val="top"/>
            <w:shd w:fill="F2F2F2"/>
          </w:tcPr>
          <w:p>
            <w:pPr>
              <w:spacing w:after="0"/>
            </w:pPr>
            <w:r/>
            <w:r>
              <w:rPr>
                <w:rFonts w:ascii="Arial" w:hAnsi="Arial"/>
                <w:b w:val="0"/>
                <w:color w:val="404040"/>
                <w:sz w:val="15"/>
              </w:rPr>
              <w:t>Model SiteAssignment with scope/shift rather than one global “site manager” boolean.</w:t>
            </w:r>
          </w:p>
        </w:tc>
      </w:tr>
      <w:tr>
        <w:tc>
          <w:tcPr>
            <w:tcW w:type="dxa" w:w="3408"/>
            <w:vAlign w:val="top"/>
            <w:shd w:fill="FFFFFF"/>
          </w:tcPr>
          <w:p>
            <w:pPr>
              <w:spacing w:after="0"/>
            </w:pPr>
            <w:r/>
            <w:r>
              <w:rPr>
                <w:rFonts w:ascii="Arial" w:hAnsi="Arial"/>
                <w:b w:val="0"/>
                <w:color w:val="404040"/>
                <w:sz w:val="15"/>
              </w:rPr>
              <w:t>Approval matrix</w:t>
            </w:r>
          </w:p>
        </w:tc>
        <w:tc>
          <w:tcPr>
            <w:tcW w:type="dxa" w:w="3408"/>
            <w:vAlign w:val="top"/>
            <w:shd w:fill="FFFFFF"/>
          </w:tcPr>
          <w:p>
            <w:pPr>
              <w:spacing w:after="0"/>
            </w:pPr>
            <w:r/>
            <w:r>
              <w:rPr>
                <w:rFonts w:ascii="Arial" w:hAnsi="Arial"/>
                <w:b w:val="0"/>
                <w:color w:val="404040"/>
                <w:sz w:val="15"/>
              </w:rPr>
              <w:t>Amounts/thresholds are not supplied</w:t>
            </w:r>
          </w:p>
        </w:tc>
        <w:tc>
          <w:tcPr>
            <w:tcW w:type="dxa" w:w="3408"/>
            <w:vAlign w:val="top"/>
            <w:shd w:fill="FFFFFF"/>
          </w:tcPr>
          <w:p>
            <w:pPr>
              <w:spacing w:after="0"/>
            </w:pPr>
            <w:r/>
            <w:r>
              <w:rPr>
                <w:rFonts w:ascii="Arial" w:hAnsi="Arial"/>
                <w:b w:val="0"/>
                <w:color w:val="404040"/>
                <w:sz w:val="15"/>
              </w:rPr>
              <w:t>Store configurable rules by organization/project and require management sign-off before production.</w:t>
            </w:r>
          </w:p>
        </w:tc>
      </w:tr>
      <w:tr>
        <w:tc>
          <w:tcPr>
            <w:tcW w:type="dxa" w:w="3408"/>
            <w:vAlign w:val="top"/>
            <w:shd w:fill="F2F2F2"/>
          </w:tcPr>
          <w:p>
            <w:pPr>
              <w:spacing w:after="0"/>
            </w:pPr>
            <w:r/>
            <w:r>
              <w:rPr>
                <w:rFonts w:ascii="Arial" w:hAnsi="Arial"/>
                <w:b w:val="0"/>
                <w:color w:val="404040"/>
                <w:sz w:val="15"/>
              </w:rPr>
              <w:t>OCR hosting path</w:t>
            </w:r>
          </w:p>
        </w:tc>
        <w:tc>
          <w:tcPr>
            <w:tcW w:type="dxa" w:w="3408"/>
            <w:vAlign w:val="top"/>
            <w:shd w:fill="F2F2F2"/>
          </w:tcPr>
          <w:p>
            <w:pPr>
              <w:spacing w:after="0"/>
            </w:pPr>
            <w:r/>
            <w:r>
              <w:rPr>
                <w:rFonts w:ascii="Arial" w:hAnsi="Arial"/>
                <w:b w:val="0"/>
                <w:color w:val="404040"/>
                <w:sz w:val="15"/>
              </w:rPr>
              <w:t>Project contains both NestJS/PostgreSQL and Supabase Edge Function OCR design</w:t>
            </w:r>
          </w:p>
        </w:tc>
        <w:tc>
          <w:tcPr>
            <w:tcW w:type="dxa" w:w="3408"/>
            <w:vAlign w:val="top"/>
            <w:shd w:fill="F2F2F2"/>
          </w:tcPr>
          <w:p>
            <w:pPr>
              <w:spacing w:after="0"/>
            </w:pPr>
            <w:r/>
            <w:r>
              <w:rPr>
                <w:rFonts w:ascii="Arial" w:hAnsi="Arial"/>
                <w:b w:val="0"/>
                <w:color w:val="404040"/>
                <w:sz w:val="15"/>
              </w:rPr>
              <w:t>Choose whether OCR proxy/storage remains Supabase or moves into the target architecture.</w:t>
            </w:r>
          </w:p>
        </w:tc>
      </w:tr>
      <w:tr>
        <w:tc>
          <w:tcPr>
            <w:tcW w:type="dxa" w:w="3408"/>
            <w:vAlign w:val="top"/>
            <w:shd w:fill="FFFFFF"/>
          </w:tcPr>
          <w:p>
            <w:pPr>
              <w:spacing w:after="0"/>
            </w:pPr>
            <w:r/>
            <w:r>
              <w:rPr>
                <w:rFonts w:ascii="Arial" w:hAnsi="Arial"/>
                <w:b w:val="0"/>
                <w:color w:val="404040"/>
                <w:sz w:val="15"/>
              </w:rPr>
              <w:t>File storage provider</w:t>
            </w:r>
          </w:p>
        </w:tc>
        <w:tc>
          <w:tcPr>
            <w:tcW w:type="dxa" w:w="3408"/>
            <w:vAlign w:val="top"/>
            <w:shd w:fill="FFFFFF"/>
          </w:tcPr>
          <w:p>
            <w:pPr>
              <w:spacing w:after="0"/>
            </w:pPr>
            <w:r/>
            <w:r>
              <w:rPr>
                <w:rFonts w:ascii="Arial" w:hAnsi="Arial"/>
                <w:b w:val="0"/>
                <w:color w:val="404040"/>
                <w:sz w:val="15"/>
              </w:rPr>
              <w:t>Current source describes private Supabase bucket but target runtime says Supabase not used</w:t>
            </w:r>
          </w:p>
        </w:tc>
        <w:tc>
          <w:tcPr>
            <w:tcW w:type="dxa" w:w="3408"/>
            <w:vAlign w:val="top"/>
            <w:shd w:fill="FFFFFF"/>
          </w:tcPr>
          <w:p>
            <w:pPr>
              <w:spacing w:after="0"/>
            </w:pPr>
            <w:r/>
            <w:r>
              <w:rPr>
                <w:rFonts w:ascii="Arial" w:hAnsi="Arial"/>
                <w:b w:val="0"/>
                <w:color w:val="404040"/>
                <w:sz w:val="15"/>
              </w:rPr>
              <w:t>Choose object storage and access pattern before GAP-09/GAP-15 production build.</w:t>
            </w:r>
          </w:p>
        </w:tc>
      </w:tr>
      <w:tr>
        <w:tc>
          <w:tcPr>
            <w:tcW w:type="dxa" w:w="3408"/>
            <w:vAlign w:val="top"/>
            <w:shd w:fill="F2F2F2"/>
          </w:tcPr>
          <w:p>
            <w:pPr>
              <w:spacing w:after="0"/>
            </w:pPr>
            <w:r/>
            <w:r>
              <w:rPr>
                <w:rFonts w:ascii="Arial" w:hAnsi="Arial"/>
                <w:b w:val="0"/>
                <w:color w:val="404040"/>
                <w:sz w:val="15"/>
              </w:rPr>
              <w:t>Attendance correction authority</w:t>
            </w:r>
          </w:p>
        </w:tc>
        <w:tc>
          <w:tcPr>
            <w:tcW w:type="dxa" w:w="3408"/>
            <w:vAlign w:val="top"/>
            <w:shd w:fill="F2F2F2"/>
          </w:tcPr>
          <w:p>
            <w:pPr>
              <w:spacing w:after="0"/>
            </w:pPr>
            <w:r/>
            <w:r>
              <w:rPr>
                <w:rFonts w:ascii="Arial" w:hAnsi="Arial"/>
                <w:b w:val="0"/>
                <w:color w:val="404040"/>
                <w:sz w:val="15"/>
              </w:rPr>
              <w:t>The supplied documents assign record ownership but not exact correction approval</w:t>
            </w:r>
          </w:p>
        </w:tc>
        <w:tc>
          <w:tcPr>
            <w:tcW w:type="dxa" w:w="3408"/>
            <w:vAlign w:val="top"/>
            <w:shd w:fill="F2F2F2"/>
          </w:tcPr>
          <w:p>
            <w:pPr>
              <w:spacing w:after="0"/>
            </w:pPr>
            <w:r/>
            <w:r>
              <w:rPr>
                <w:rFonts w:ascii="Arial" w:hAnsi="Arial"/>
                <w:b w:val="0"/>
                <w:color w:val="404040"/>
                <w:sz w:val="15"/>
              </w:rPr>
              <w:t>Define who can correct, within what time window, and whether corrections need dual approval.</w:t>
            </w:r>
          </w:p>
        </w:tc>
      </w:tr>
      <w:tr>
        <w:tc>
          <w:tcPr>
            <w:tcW w:type="dxa" w:w="3408"/>
            <w:vAlign w:val="top"/>
            <w:shd w:fill="FFFFFF"/>
          </w:tcPr>
          <w:p>
            <w:pPr>
              <w:spacing w:after="0"/>
            </w:pPr>
            <w:r/>
            <w:r>
              <w:rPr>
                <w:rFonts w:ascii="Arial" w:hAnsi="Arial"/>
                <w:b w:val="0"/>
                <w:color w:val="404040"/>
                <w:sz w:val="15"/>
              </w:rPr>
              <w:t>External user licensing/access</w:t>
            </w:r>
          </w:p>
        </w:tc>
        <w:tc>
          <w:tcPr>
            <w:tcW w:type="dxa" w:w="3408"/>
            <w:vAlign w:val="top"/>
            <w:shd w:fill="FFFFFF"/>
          </w:tcPr>
          <w:p>
            <w:pPr>
              <w:spacing w:after="0"/>
            </w:pPr>
            <w:r/>
            <w:r>
              <w:rPr>
                <w:rFonts w:ascii="Arial" w:hAnsi="Arial"/>
                <w:b w:val="0"/>
                <w:color w:val="404040"/>
                <w:sz w:val="15"/>
              </w:rPr>
              <w:t>Documents define external specialists but not login policy</w:t>
            </w:r>
          </w:p>
        </w:tc>
        <w:tc>
          <w:tcPr>
            <w:tcW w:type="dxa" w:w="3408"/>
            <w:vAlign w:val="top"/>
            <w:shd w:fill="FFFFFF"/>
          </w:tcPr>
          <w:p>
            <w:pPr>
              <w:spacing w:after="0"/>
            </w:pPr>
            <w:r/>
            <w:r>
              <w:rPr>
                <w:rFonts w:ascii="Arial" w:hAnsi="Arial"/>
                <w:b w:val="0"/>
                <w:color w:val="404040"/>
                <w:sz w:val="15"/>
              </w:rPr>
              <w:t>Decide which external roles receive credentials vs remain internal-record-only.</w:t>
            </w:r>
          </w:p>
        </w:tc>
      </w:tr>
      <w:tr>
        <w:tc>
          <w:tcPr>
            <w:tcW w:type="dxa" w:w="3408"/>
            <w:vAlign w:val="top"/>
            <w:shd w:fill="F2F2F2"/>
          </w:tcPr>
          <w:p>
            <w:pPr>
              <w:spacing w:after="0"/>
            </w:pPr>
            <w:r/>
            <w:r>
              <w:rPr>
                <w:rFonts w:ascii="Arial" w:hAnsi="Arial"/>
                <w:b w:val="0"/>
                <w:color w:val="404040"/>
                <w:sz w:val="15"/>
              </w:rPr>
              <w:t>Retention periods</w:t>
            </w:r>
          </w:p>
        </w:tc>
        <w:tc>
          <w:tcPr>
            <w:tcW w:type="dxa" w:w="3408"/>
            <w:vAlign w:val="top"/>
            <w:shd w:fill="F2F2F2"/>
          </w:tcPr>
          <w:p>
            <w:pPr>
              <w:spacing w:after="0"/>
            </w:pPr>
            <w:r/>
            <w:r>
              <w:rPr>
                <w:rFonts w:ascii="Arial" w:hAnsi="Arial"/>
                <w:b w:val="0"/>
                <w:color w:val="404040"/>
                <w:sz w:val="15"/>
              </w:rPr>
              <w:t>No source supplied exact retention/legal periods</w:t>
            </w:r>
          </w:p>
        </w:tc>
        <w:tc>
          <w:tcPr>
            <w:tcW w:type="dxa" w:w="3408"/>
            <w:vAlign w:val="top"/>
            <w:shd w:fill="F2F2F2"/>
          </w:tcPr>
          <w:p>
            <w:pPr>
              <w:spacing w:after="0"/>
            </w:pPr>
            <w:r/>
            <w:r>
              <w:rPr>
                <w:rFonts w:ascii="Arial" w:hAnsi="Arial"/>
                <w:b w:val="0"/>
                <w:color w:val="404040"/>
                <w:sz w:val="15"/>
              </w:rPr>
              <w:t>Obtain company/legal/accounting/HSE retention rules before production policy is locked.</w:t>
            </w:r>
          </w:p>
        </w:tc>
      </w:tr>
    </w:tbl>
    <w:p>
      <w:pPr>
        <w:spacing w:after="40"/>
      </w:pPr>
    </w:p>
    <w:p>
      <w:pPr>
        <w:pStyle w:val="Heading1"/>
      </w:pPr>
      <w:r>
        <w:t>12. Definition of done for each gap</w:t>
      </w:r>
    </w:p>
    <w:p>
      <w:pPr>
        <w:spacing w:after="40"/>
        <w:ind w:left="259" w:hanging="173"/>
      </w:pPr>
      <w:r>
        <w:rPr>
          <w:sz w:val="18"/>
        </w:rPr>
        <w:t>• Requirements implemented and mapped to a named business owner.</w:t>
      </w:r>
    </w:p>
    <w:p>
      <w:pPr>
        <w:spacing w:after="40"/>
        <w:ind w:left="259" w:hanging="173"/>
      </w:pPr>
      <w:r>
        <w:rPr>
          <w:sz w:val="18"/>
        </w:rPr>
        <w:t>• Prisma migration created, reviewed and tested against PostgreSQL.</w:t>
      </w:r>
    </w:p>
    <w:p>
      <w:pPr>
        <w:spacing w:after="40"/>
        <w:ind w:left="259" w:hanging="173"/>
      </w:pPr>
      <w:r>
        <w:rPr>
          <w:sz w:val="18"/>
        </w:rPr>
        <w:t>• NestJS DTO, service, controller and authorization tests implemented.</w:t>
      </w:r>
    </w:p>
    <w:p>
      <w:pPr>
        <w:spacing w:after="40"/>
        <w:ind w:left="259" w:hanging="173"/>
      </w:pPr>
      <w:r>
        <w:rPr>
          <w:sz w:val="18"/>
        </w:rPr>
        <w:t>• Swagger documentation updated for new endpoints.</w:t>
      </w:r>
    </w:p>
    <w:p>
      <w:pPr>
        <w:spacing w:after="40"/>
        <w:ind w:left="259" w:hanging="173"/>
      </w:pPr>
      <w:r>
        <w:rPr>
          <w:sz w:val="18"/>
        </w:rPr>
        <w:t>• Web UI includes loading, empty, success, validation, permission and failure states.</w:t>
      </w:r>
    </w:p>
    <w:p>
      <w:pPr>
        <w:spacing w:after="40"/>
        <w:ind w:left="259" w:hanging="173"/>
      </w:pPr>
      <w:r>
        <w:rPr>
          <w:sz w:val="18"/>
        </w:rPr>
        <w:t>• Mobile UI includes offline/error behavior where applicable.</w:t>
      </w:r>
    </w:p>
    <w:p>
      <w:pPr>
        <w:spacing w:after="40"/>
        <w:ind w:left="259" w:hanging="173"/>
      </w:pPr>
      <w:r>
        <w:rPr>
          <w:sz w:val="18"/>
        </w:rPr>
        <w:t>• Relevant shared types/domain rules updated in @solar/shared when logic is cross-client.</w:t>
      </w:r>
    </w:p>
    <w:p>
      <w:pPr>
        <w:spacing w:after="40"/>
        <w:ind w:left="259" w:hanging="173"/>
      </w:pPr>
      <w:r>
        <w:rPr>
          <w:sz w:val="18"/>
        </w:rPr>
        <w:t>• Audit events implemented for high-risk transitions.</w:t>
      </w:r>
    </w:p>
    <w:p>
      <w:pPr>
        <w:spacing w:after="40"/>
        <w:ind w:left="259" w:hanging="173"/>
      </w:pPr>
      <w:r>
        <w:rPr>
          <w:sz w:val="18"/>
        </w:rPr>
        <w:t>• Notifications implemented for business-critical triggers where required.</w:t>
      </w:r>
    </w:p>
    <w:p>
      <w:pPr>
        <w:spacing w:after="40"/>
        <w:ind w:left="259" w:hanging="173"/>
      </w:pPr>
      <w:r>
        <w:rPr>
          <w:sz w:val="18"/>
        </w:rPr>
        <w:t>• Unit + integration + E2E/UAT evidence added.</w:t>
      </w:r>
    </w:p>
    <w:p>
      <w:pPr>
        <w:spacing w:after="40"/>
        <w:ind w:left="259" w:hanging="173"/>
      </w:pPr>
      <w:r>
        <w:rPr>
          <w:sz w:val="18"/>
        </w:rPr>
        <w:t>• Configuration and dependencies documented.</w:t>
      </w:r>
    </w:p>
    <w:p>
      <w:pPr>
        <w:spacing w:after="40"/>
        <w:ind w:left="259" w:hanging="173"/>
      </w:pPr>
      <w:r>
        <w:rPr>
          <w:sz w:val="18"/>
        </w:rPr>
        <w:t>• Known issues and decision records updated.</w:t>
      </w:r>
    </w:p>
    <w:p>
      <w:pPr>
        <w:spacing w:after="40"/>
        <w:ind w:left="259" w:hanging="173"/>
      </w:pPr>
      <w:r>
        <w:rPr>
          <w:sz w:val="18"/>
        </w:rPr>
        <w:t>• No mock/fallback/demo runtime path remains unless explicitly documented.</w:t>
      </w:r>
    </w:p>
    <w:p>
      <w:pPr>
        <w:spacing w:after="40"/>
        <w:ind w:left="259" w:hanging="173"/>
      </w:pPr>
      <w:r>
        <w:rPr>
          <w:sz w:val="18"/>
        </w:rPr>
        <w:t>• Documentation and handoff are updated.</w:t>
      </w:r>
    </w:p>
    <w:p>
      <w:pPr>
        <w:pStyle w:val="Heading1"/>
      </w:pPr>
      <w:r>
        <w:t>Appendix A. Current pages/endpoints that should be preserved during the build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17365D"/>
          </w:tcPr>
          <w:p>
            <w:pPr>
              <w:spacing w:after="0"/>
            </w:pPr>
            <w:r/>
            <w:r>
              <w:rPr>
                <w:rFonts w:ascii="Arial" w:hAnsi="Arial"/>
                <w:b/>
                <w:color w:val="FFFFFF"/>
                <w:sz w:val="15"/>
              </w:rPr>
              <w:t>Current item</w:t>
            </w:r>
          </w:p>
        </w:tc>
        <w:tc>
          <w:tcPr>
            <w:tcW w:type="dxa" w:w="5112"/>
            <w:vAlign w:val="top"/>
            <w:shd w:fill="17365D"/>
          </w:tcPr>
          <w:p>
            <w:pPr>
              <w:spacing w:after="0"/>
            </w:pPr>
            <w:r/>
            <w:r>
              <w:rPr>
                <w:rFonts w:ascii="Arial" w:hAnsi="Arial"/>
                <w:b/>
                <w:color w:val="FFFFFF"/>
                <w:sz w:val="15"/>
              </w:rPr>
              <w:t>Preserve / evolve</w:t>
            </w:r>
          </w:p>
        </w:tc>
      </w:tr>
      <w:tr>
        <w:tc>
          <w:tcPr>
            <w:tcW w:type="dxa" w:w="5112"/>
            <w:vAlign w:val="top"/>
            <w:shd w:fill="FFFFFF"/>
          </w:tcPr>
          <w:p>
            <w:pPr>
              <w:spacing w:after="0"/>
            </w:pPr>
            <w:r/>
            <w:r>
              <w:rPr>
                <w:rFonts w:ascii="Arial" w:hAnsi="Arial"/>
                <w:b w:val="0"/>
                <w:color w:val="404040"/>
                <w:sz w:val="15"/>
              </w:rPr>
              <w:t>POST /api/auth/login</w:t>
            </w:r>
          </w:p>
        </w:tc>
        <w:tc>
          <w:tcPr>
            <w:tcW w:type="dxa" w:w="5112"/>
            <w:vAlign w:val="top"/>
            <w:shd w:fill="FFFFFF"/>
          </w:tcPr>
          <w:p>
            <w:pPr>
              <w:spacing w:after="0"/>
            </w:pPr>
            <w:r/>
            <w:r>
              <w:rPr>
                <w:rFonts w:ascii="Arial" w:hAnsi="Arial"/>
                <w:b w:val="0"/>
                <w:color w:val="404040"/>
                <w:sz w:val="15"/>
              </w:rPr>
              <w:t>Preserve; extend with refresh/session lifecycle for mobile.</w:t>
            </w:r>
          </w:p>
        </w:tc>
      </w:tr>
      <w:tr>
        <w:tc>
          <w:tcPr>
            <w:tcW w:type="dxa" w:w="5112"/>
            <w:vAlign w:val="top"/>
            <w:shd w:fill="F2F2F2"/>
          </w:tcPr>
          <w:p>
            <w:pPr>
              <w:spacing w:after="0"/>
            </w:pPr>
            <w:r/>
            <w:r>
              <w:rPr>
                <w:rFonts w:ascii="Arial" w:hAnsi="Arial"/>
                <w:b w:val="0"/>
                <w:color w:val="404040"/>
                <w:sz w:val="15"/>
              </w:rPr>
              <w:t>GET /api/auth/me</w:t>
            </w:r>
          </w:p>
        </w:tc>
        <w:tc>
          <w:tcPr>
            <w:tcW w:type="dxa" w:w="5112"/>
            <w:vAlign w:val="top"/>
            <w:shd w:fill="F2F2F2"/>
          </w:tcPr>
          <w:p>
            <w:pPr>
              <w:spacing w:after="0"/>
            </w:pPr>
            <w:r/>
            <w:r>
              <w:rPr>
                <w:rFonts w:ascii="Arial" w:hAnsi="Arial"/>
                <w:b w:val="0"/>
                <w:color w:val="404040"/>
                <w:sz w:val="15"/>
              </w:rPr>
              <w:t>Preserve; include enough role/scope context for clients without making authorization client-trusted.</w:t>
            </w:r>
          </w:p>
        </w:tc>
      </w:tr>
      <w:tr>
        <w:tc>
          <w:tcPr>
            <w:tcW w:type="dxa" w:w="5112"/>
            <w:vAlign w:val="top"/>
            <w:shd w:fill="FFFFFF"/>
          </w:tcPr>
          <w:p>
            <w:pPr>
              <w:spacing w:after="0"/>
            </w:pPr>
            <w:r/>
            <w:r>
              <w:rPr>
                <w:rFonts w:ascii="Arial" w:hAnsi="Arial"/>
                <w:b w:val="0"/>
                <w:color w:val="404040"/>
                <w:sz w:val="15"/>
              </w:rPr>
              <w:t>GET /api/control-tower/overview</w:t>
            </w:r>
          </w:p>
        </w:tc>
        <w:tc>
          <w:tcPr>
            <w:tcW w:type="dxa" w:w="5112"/>
            <w:vAlign w:val="top"/>
            <w:shd w:fill="FFFFFF"/>
          </w:tcPr>
          <w:p>
            <w:pPr>
              <w:spacing w:after="0"/>
            </w:pPr>
            <w:r/>
            <w:r>
              <w:rPr>
                <w:rFonts w:ascii="Arial" w:hAnsi="Arial"/>
                <w:b w:val="0"/>
                <w:color w:val="404040"/>
                <w:sz w:val="15"/>
              </w:rPr>
              <w:t>Preserve; expand drill-down sources as new domains are built.</w:t>
            </w:r>
          </w:p>
        </w:tc>
      </w:tr>
      <w:tr>
        <w:tc>
          <w:tcPr>
            <w:tcW w:type="dxa" w:w="5112"/>
            <w:vAlign w:val="top"/>
            <w:shd w:fill="F2F2F2"/>
          </w:tcPr>
          <w:p>
            <w:pPr>
              <w:spacing w:after="0"/>
            </w:pPr>
            <w:r/>
            <w:r>
              <w:rPr>
                <w:rFonts w:ascii="Arial" w:hAnsi="Arial"/>
                <w:b w:val="0"/>
                <w:color w:val="404040"/>
                <w:sz w:val="15"/>
              </w:rPr>
              <w:t>GET /api/projects</w:t>
            </w:r>
          </w:p>
        </w:tc>
        <w:tc>
          <w:tcPr>
            <w:tcW w:type="dxa" w:w="5112"/>
            <w:vAlign w:val="top"/>
            <w:shd w:fill="F2F2F2"/>
          </w:tcPr>
          <w:p>
            <w:pPr>
              <w:spacing w:after="0"/>
            </w:pPr>
            <w:r/>
            <w:r>
              <w:rPr>
                <w:rFonts w:ascii="Arial" w:hAnsi="Arial"/>
                <w:b w:val="0"/>
                <w:color w:val="404040"/>
                <w:sz w:val="15"/>
              </w:rPr>
              <w:t>Preserve; support real site/project memberships.</w:t>
            </w:r>
          </w:p>
        </w:tc>
      </w:tr>
      <w:tr>
        <w:tc>
          <w:tcPr>
            <w:tcW w:type="dxa" w:w="5112"/>
            <w:vAlign w:val="top"/>
            <w:shd w:fill="FFFFFF"/>
          </w:tcPr>
          <w:p>
            <w:pPr>
              <w:spacing w:after="0"/>
            </w:pPr>
            <w:r/>
            <w:r>
              <w:rPr>
                <w:rFonts w:ascii="Arial" w:hAnsi="Arial"/>
                <w:b w:val="0"/>
                <w:color w:val="404040"/>
                <w:sz w:val="15"/>
              </w:rPr>
              <w:t>GET /api/attendance</w:t>
            </w:r>
          </w:p>
        </w:tc>
        <w:tc>
          <w:tcPr>
            <w:tcW w:type="dxa" w:w="5112"/>
            <w:vAlign w:val="top"/>
            <w:shd w:fill="FFFFFF"/>
          </w:tcPr>
          <w:p>
            <w:pPr>
              <w:spacing w:after="0"/>
            </w:pPr>
            <w:r/>
            <w:r>
              <w:rPr>
                <w:rFonts w:ascii="Arial" w:hAnsi="Arial"/>
                <w:b w:val="0"/>
                <w:color w:val="404040"/>
                <w:sz w:val="15"/>
              </w:rPr>
              <w:t>Preserve; add correction/audit/offline-safe operations.</w:t>
            </w:r>
          </w:p>
        </w:tc>
      </w:tr>
      <w:tr>
        <w:tc>
          <w:tcPr>
            <w:tcW w:type="dxa" w:w="5112"/>
            <w:vAlign w:val="top"/>
            <w:shd w:fill="F2F2F2"/>
          </w:tcPr>
          <w:p>
            <w:pPr>
              <w:spacing w:after="0"/>
            </w:pPr>
            <w:r/>
            <w:r>
              <w:rPr>
                <w:rFonts w:ascii="Arial" w:hAnsi="Arial"/>
                <w:b w:val="0"/>
                <w:color w:val="404040"/>
                <w:sz w:val="15"/>
              </w:rPr>
              <w:t>GET /api/daily-reports</w:t>
            </w:r>
          </w:p>
        </w:tc>
        <w:tc>
          <w:tcPr>
            <w:tcW w:type="dxa" w:w="5112"/>
            <w:vAlign w:val="top"/>
            <w:shd w:fill="F2F2F2"/>
          </w:tcPr>
          <w:p>
            <w:pPr>
              <w:spacing w:after="0"/>
            </w:pPr>
            <w:r/>
            <w:r>
              <w:rPr>
                <w:rFonts w:ascii="Arial" w:hAnsi="Arial"/>
                <w:b w:val="0"/>
                <w:color w:val="404040"/>
                <w:sz w:val="15"/>
              </w:rPr>
              <w:t>Preserve; connect to work plans, tasks, evidence and progress.</w:t>
            </w:r>
          </w:p>
        </w:tc>
      </w:tr>
      <w:tr>
        <w:tc>
          <w:tcPr>
            <w:tcW w:type="dxa" w:w="5112"/>
            <w:vAlign w:val="top"/>
            <w:shd w:fill="FFFFFF"/>
          </w:tcPr>
          <w:p>
            <w:pPr>
              <w:spacing w:after="0"/>
            </w:pPr>
            <w:r/>
            <w:r>
              <w:rPr>
                <w:rFonts w:ascii="Arial" w:hAnsi="Arial"/>
                <w:b w:val="0"/>
                <w:color w:val="404040"/>
                <w:sz w:val="15"/>
              </w:rPr>
              <w:t>GET /api/expenses</w:t>
            </w:r>
          </w:p>
        </w:tc>
        <w:tc>
          <w:tcPr>
            <w:tcW w:type="dxa" w:w="5112"/>
            <w:vAlign w:val="top"/>
            <w:shd w:fill="FFFFFF"/>
          </w:tcPr>
          <w:p>
            <w:pPr>
              <w:spacing w:after="0"/>
            </w:pPr>
            <w:r/>
            <w:r>
              <w:rPr>
                <w:rFonts w:ascii="Arial" w:hAnsi="Arial"/>
                <w:b w:val="0"/>
                <w:color w:val="404040"/>
                <w:sz w:val="15"/>
              </w:rPr>
              <w:t>Preserve; expand into review/approval/payment + OCR.</w:t>
            </w:r>
          </w:p>
        </w:tc>
      </w:tr>
      <w:tr>
        <w:tc>
          <w:tcPr>
            <w:tcW w:type="dxa" w:w="5112"/>
            <w:vAlign w:val="top"/>
            <w:shd w:fill="F2F2F2"/>
          </w:tcPr>
          <w:p>
            <w:pPr>
              <w:spacing w:after="0"/>
            </w:pPr>
            <w:r/>
            <w:r>
              <w:rPr>
                <w:rFonts w:ascii="Arial" w:hAnsi="Arial"/>
                <w:b w:val="0"/>
                <w:color w:val="404040"/>
                <w:sz w:val="15"/>
              </w:rPr>
              <w:t>GET /api/users</w:t>
            </w:r>
          </w:p>
        </w:tc>
        <w:tc>
          <w:tcPr>
            <w:tcW w:type="dxa" w:w="5112"/>
            <w:vAlign w:val="top"/>
            <w:shd w:fill="F2F2F2"/>
          </w:tcPr>
          <w:p>
            <w:pPr>
              <w:spacing w:after="0"/>
            </w:pPr>
            <w:r/>
            <w:r>
              <w:rPr>
                <w:rFonts w:ascii="Arial" w:hAnsi="Arial"/>
                <w:b w:val="0"/>
                <w:color w:val="404040"/>
                <w:sz w:val="15"/>
              </w:rPr>
              <w:t>Preserve; expand with scoped role assignment.</w:t>
            </w:r>
          </w:p>
        </w:tc>
      </w:tr>
      <w:tr>
        <w:tc>
          <w:tcPr>
            <w:tcW w:type="dxa" w:w="5112"/>
            <w:vAlign w:val="top"/>
            <w:shd w:fill="FFFFFF"/>
          </w:tcPr>
          <w:p>
            <w:pPr>
              <w:spacing w:after="0"/>
            </w:pPr>
            <w:r/>
            <w:r>
              <w:rPr>
                <w:rFonts w:ascii="Arial" w:hAnsi="Arial"/>
                <w:b w:val="0"/>
                <w:color w:val="404040"/>
                <w:sz w:val="15"/>
              </w:rPr>
              <w:t>GET /api/notifications</w:t>
            </w:r>
          </w:p>
        </w:tc>
        <w:tc>
          <w:tcPr>
            <w:tcW w:type="dxa" w:w="5112"/>
            <w:vAlign w:val="top"/>
            <w:shd w:fill="FFFFFF"/>
          </w:tcPr>
          <w:p>
            <w:pPr>
              <w:spacing w:after="0"/>
            </w:pPr>
            <w:r/>
            <w:r>
              <w:rPr>
                <w:rFonts w:ascii="Arial" w:hAnsi="Arial"/>
                <w:b w:val="0"/>
                <w:color w:val="404040"/>
                <w:sz w:val="15"/>
              </w:rPr>
              <w:t>Preserve; back it with real events/preferences.</w:t>
            </w:r>
          </w:p>
        </w:tc>
      </w:tr>
      <w:tr>
        <w:tc>
          <w:tcPr>
            <w:tcW w:type="dxa" w:w="5112"/>
            <w:vAlign w:val="top"/>
            <w:shd w:fill="F2F2F2"/>
          </w:tcPr>
          <w:p>
            <w:pPr>
              <w:spacing w:after="0"/>
            </w:pPr>
            <w:r/>
            <w:r>
              <w:rPr>
                <w:rFonts w:ascii="Arial" w:hAnsi="Arial"/>
                <w:b w:val="0"/>
                <w:color w:val="404040"/>
                <w:sz w:val="15"/>
              </w:rPr>
              <w:t>GET /api/materials</w:t>
            </w:r>
          </w:p>
        </w:tc>
        <w:tc>
          <w:tcPr>
            <w:tcW w:type="dxa" w:w="5112"/>
            <w:vAlign w:val="top"/>
            <w:shd w:fill="F2F2F2"/>
          </w:tcPr>
          <w:p>
            <w:pPr>
              <w:spacing w:after="0"/>
            </w:pPr>
            <w:r/>
            <w:r>
              <w:rPr>
                <w:rFonts w:ascii="Arial" w:hAnsi="Arial"/>
                <w:b w:val="0"/>
                <w:color w:val="404040"/>
                <w:sz w:val="15"/>
              </w:rPr>
              <w:t>Preserve; connect to procurement/stock traceability.</w:t>
            </w:r>
          </w:p>
        </w:tc>
      </w:tr>
      <w:tr>
        <w:tc>
          <w:tcPr>
            <w:tcW w:type="dxa" w:w="5112"/>
            <w:vAlign w:val="top"/>
            <w:shd w:fill="FFFFFF"/>
          </w:tcPr>
          <w:p>
            <w:pPr>
              <w:spacing w:after="0"/>
            </w:pPr>
            <w:r/>
            <w:r>
              <w:rPr>
                <w:rFonts w:ascii="Arial" w:hAnsi="Arial"/>
                <w:b w:val="0"/>
                <w:color w:val="404040"/>
                <w:sz w:val="15"/>
              </w:rPr>
              <w:t>GET /api/inventory/stock</w:t>
            </w:r>
          </w:p>
        </w:tc>
        <w:tc>
          <w:tcPr>
            <w:tcW w:type="dxa" w:w="5112"/>
            <w:vAlign w:val="top"/>
            <w:shd w:fill="FFFFFF"/>
          </w:tcPr>
          <w:p>
            <w:pPr>
              <w:spacing w:after="0"/>
            </w:pPr>
            <w:r/>
            <w:r>
              <w:rPr>
                <w:rFonts w:ascii="Arial" w:hAnsi="Arial"/>
                <w:b w:val="0"/>
                <w:color w:val="404040"/>
                <w:sz w:val="15"/>
              </w:rPr>
              <w:t>Preserve; expand lot/location/consumption/asset model.</w:t>
            </w:r>
          </w:p>
        </w:tc>
      </w:tr>
      <w:tr>
        <w:tc>
          <w:tcPr>
            <w:tcW w:type="dxa" w:w="5112"/>
            <w:vAlign w:val="top"/>
            <w:shd w:fill="F2F2F2"/>
          </w:tcPr>
          <w:p>
            <w:pPr>
              <w:spacing w:after="0"/>
            </w:pPr>
            <w:r/>
            <w:r>
              <w:rPr>
                <w:rFonts w:ascii="Arial" w:hAnsi="Arial"/>
                <w:b w:val="0"/>
                <w:color w:val="404040"/>
                <w:sz w:val="15"/>
              </w:rPr>
              <w:t>GET /api/inventory/movements</w:t>
            </w:r>
          </w:p>
        </w:tc>
        <w:tc>
          <w:tcPr>
            <w:tcW w:type="dxa" w:w="5112"/>
            <w:vAlign w:val="top"/>
            <w:shd w:fill="F2F2F2"/>
          </w:tcPr>
          <w:p>
            <w:pPr>
              <w:spacing w:after="0"/>
            </w:pPr>
            <w:r/>
            <w:r>
              <w:rPr>
                <w:rFonts w:ascii="Arial" w:hAnsi="Arial"/>
                <w:b w:val="0"/>
                <w:color w:val="404040"/>
                <w:sz w:val="15"/>
              </w:rPr>
              <w:t>Preserve; make movements transactional and auditable.</w:t>
            </w:r>
          </w:p>
        </w:tc>
      </w:tr>
      <w:tr>
        <w:tc>
          <w:tcPr>
            <w:tcW w:type="dxa" w:w="5112"/>
            <w:vAlign w:val="top"/>
            <w:shd w:fill="FFFFFF"/>
          </w:tcPr>
          <w:p>
            <w:pPr>
              <w:spacing w:after="0"/>
            </w:pPr>
            <w:r/>
            <w:r>
              <w:rPr>
                <w:rFonts w:ascii="Arial" w:hAnsi="Arial"/>
                <w:b w:val="0"/>
                <w:color w:val="404040"/>
                <w:sz w:val="15"/>
              </w:rPr>
              <w:t>GET /api/procurement/delivery-notes</w:t>
            </w:r>
          </w:p>
        </w:tc>
        <w:tc>
          <w:tcPr>
            <w:tcW w:type="dxa" w:w="5112"/>
            <w:vAlign w:val="top"/>
            <w:shd w:fill="FFFFFF"/>
          </w:tcPr>
          <w:p>
            <w:pPr>
              <w:spacing w:after="0"/>
            </w:pPr>
            <w:r/>
            <w:r>
              <w:rPr>
                <w:rFonts w:ascii="Arial" w:hAnsi="Arial"/>
                <w:b w:val="0"/>
                <w:color w:val="404040"/>
                <w:sz w:val="15"/>
              </w:rPr>
              <w:t>Preserve; connect to material requests, PO and goods receipt.</w:t>
            </w:r>
          </w:p>
        </w:tc>
      </w:tr>
    </w:tbl>
    <w:p>
      <w:pPr>
        <w:spacing w:after="40"/>
      </w:pPr>
    </w:p>
    <w:p>
      <w:pPr>
        <w:pStyle w:val="Small"/>
        <w:spacing w:after="100"/>
      </w:pPr>
      <w:r>
        <w:rPr>
          <w:i/>
        </w:rPr>
        <w:t>Source note: This specification is derived from the project status supplied in the conversation and the three uploaded HIIEKO documents. Where those sources do not define exact database field names, API shapes, approval thresholds, retention periods, or legal policies, this document labels the item as a proposed technical treatment or a decision required.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5"/>
      </w:rPr>
      <w:t>Build specification v1.0 | 22 September 2026</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04040"/>
        <w:sz w:val="15"/>
      </w:rPr>
      <w:t>HIIEKO ROMANIA | Solar Site Management System | Application Gap &amp; Build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0404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rial" w:hAnsi="Arial"/>
      <w:color w:val="404040"/>
      <w:sz w:val="16"/>
    </w:rPr>
  </w:style>
  <w:style w:type="paragraph" w:customStyle="1" w:styleId="Callout">
    <w:name w:val="Callout"/>
    <w:basedOn w:val="Normal"/>
    <w:rPr>
      <w:rFonts w:ascii="Arial" w:hAnsi="Arial"/>
      <w:color w:val="17365D"/>
      <w:sz w:val="19"/>
    </w:rPr>
  </w:style>
  <w:style w:type="paragraph" w:customStyle="1" w:styleId="TableText">
    <w:name w:val="TableText"/>
    <w:basedOn w:val="Normal"/>
    <w:rPr>
      <w:rFonts w:ascii="Arial" w:hAnsi="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HIIEKO Application Gap &amp; Build Specification</dc:title>
  <dc:subject>Build-ready mapping of remaining HIIEKO application gaps</dc:subject>
  <dc:creator>OpenAI</dc:creator>
  <cp:keywords>HIIEKO, solar, EPC, application, build specification, Prisma, NestJS, Next.js, Expo</cp:keywords>
  <dc:description>generated by python-docx</dc:description>
  <cp:lastModifiedBy/>
  <cp:revision>1</cp:revision>
  <dcterms:created xsi:type="dcterms:W3CDTF">2013-12-23T23:15:00Z</dcterms:created>
  <dcterms:modified xsi:type="dcterms:W3CDTF">2013-12-23T23:15:00Z</dcterms:modified>
  <cp:category/>
</cp:coreProperties>
</file>