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Synapses and Silicon</w:t>
      </w:r>
    </w:p>
    <w:p>
      <w:r>
        <w:t>The architecture of modern artificial neural networks (ANNs) is not merely a computational invention but a direct abstraction of biological neuroplasticity. Specifically, the Hebbian theory of "cells that fire together, wire together" serves as the foundational logic for backpropagation algorithms used in machine learning.</w:t>
      </w:r>
    </w:p>
    <w:p>
      <w:r>
        <w:t>However, a critical divergence exists. While biological brains operate on asynchronous, spike-based processing (neuromorphic computing), standard ANNs rely on synchronous, layer-based matrix multiplication. This essay argues that to achieve true "General Intelligence," computer science must move beyond current architectures and adopt the chaotic, fault-tolerant signaling methods observed in mammalian cortices.</w:t>
      </w:r>
    </w:p>
    <w:p>
      <w:r>
        <w:t>By analyzing the efficiency of the human visual cortex against a Convolutional Neural Network (CNN), we see that biology prioritizes energy efficiency over raw throughput. This cross-disciplinary insight suggests that future hardware should mimic the chemical diffusion delays of synapses, rather than just the electrical connectivity.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