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GUIDE TO ALL FIGURES + GEOPOLITICAL BLOC COMPOSITION</w:t>
      </w:r>
    </w:p>
    <w:p/>
    <w:p>
      <w:pPr>
        <w:jc w:val="center"/>
      </w:pPr>
      <w:r>
        <w:rPr>
          <w:rFonts w:ascii="Calibri" w:hAnsi="Calibri"/>
          <w:color w:val="555555"/>
          <w:sz w:val="22"/>
        </w:rPr>
        <w:t>Strategies of Legitimizing Violations of International Law</w:t>
        <w:br/>
        <w:t>in Leaders’ Speeches at the UNGA (1945–2023)</w:t>
        <w:br/>
        <w:br/>
        <w:t>How to read each graph • What it shows • What it means for the thesis</w:t>
      </w:r>
    </w:p>
    <w:p>
      <w:r>
        <w:br w:type="page"/>
      </w:r>
    </w:p>
    <w:p>
      <w:pPr>
        <w:spacing w:before="280" w:after="40"/>
        <w:pBdr>
          <w:bottom w:val="single" w:sz="6" w:space="1" w:color="1F4E79"/>
        </w:pBdr>
      </w:pPr>
      <w:r>
        <w:rPr>
          <w:rFonts w:ascii="Calibri" w:hAnsi="Calibri"/>
          <w:b/>
          <w:color w:val="1F4E79"/>
          <w:sz w:val="26"/>
        </w:rPr>
        <w:t>Figure 4.1 — Role Heatmap — Communicative Roles per Case-Year</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heatmap. Rows are the 33 case-years (country + year). Columns are the 9 communicative roles: justification, dialogue appeal, legal normative, sovereignty norm, historical context, victim narrative, denial, counter-accusation, delegitimation. Cell color shows how frequently that role dominates in a speech: the brighter the red, the higher the score. The banded background groups roles into the four Habermas action types.</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Look at a row (a case) and find the brightest column — that is the dominant role for that speech. The three rightmost columns are the strategic roles (denial, counter-accusation, delegitimation).</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The three rightmost columns are almost entirely empty for every row. No case-year has a strategic role as its dominant mode. Every speech — even the most adversarial — contains sufficient justificatory or normative content to be classified under communicative or normative action.</w:t>
      </w:r>
    </w:p>
    <w:p>
      <w:pPr>
        <w:spacing w:before="80" w:after="200"/>
        <w:ind w:left="340"/>
        <w:pBdr>
          <w:left w:val="single" w:sz="12" w:space="4" w:color="1F4E79"/>
        </w:pBdr>
      </w:pPr>
      <w:r>
        <w:rPr>
          <w:rFonts w:ascii="Calibri" w:hAnsi="Calibri"/>
          <w:color w:val="1F4E79"/>
          <w:sz w:val="22"/>
        </w:rPr>
        <w:t>→ No state refused to legitimize. The UNGA forum imposes a structural minimum requirement of normative performance — even under intense international criticism. Core confirmation of H2.</w:t>
      </w:r>
    </w:p>
    <w:p>
      <w:pPr>
        <w:spacing w:before="280" w:after="40"/>
        <w:pBdr>
          <w:bottom w:val="single" w:sz="6" w:space="1" w:color="1F4E79"/>
        </w:pBdr>
      </w:pPr>
      <w:r>
        <w:rPr>
          <w:rFonts w:ascii="Calibri" w:hAnsi="Calibri"/>
          <w:b/>
          <w:color w:val="1F4E79"/>
          <w:sz w:val="26"/>
        </w:rPr>
        <w:t>Figure 4.2 — Habermas Action Types by Cold War Bloc</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stacked bar chart. Three bars — three blocs (Non-Aligned, Soviet/Eastern, Western). The height of each color shows the share of segments of that Habermas type within the bloc. Green = communicative, blue = normative, purple = dramaturgical, red = strategic.</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All colors in a bar sum to 100%. Compare the height of green (communicative) and blue (normative) across the three bars.</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Western: 79% communicative, 12% normative. Non-Aligned: 34% communicative, 49% normative. Soviet/Eastern: 50% communicative, 39% normative. No red (strategic) anywhere. χ²(4) = 11.99, p = .017, V = .249.</w:t>
      </w:r>
    </w:p>
    <w:p>
      <w:pPr>
        <w:spacing w:before="80" w:after="200"/>
        <w:ind w:left="340"/>
        <w:pBdr>
          <w:left w:val="single" w:sz="12" w:space="4" w:color="1F4E79"/>
        </w:pBdr>
      </w:pPr>
      <w:r>
        <w:rPr>
          <w:rFonts w:ascii="Calibri" w:hAnsi="Calibri"/>
          <w:color w:val="1F4E79"/>
          <w:sz w:val="22"/>
        </w:rPr>
        <w:t>→ Western states justify through argument (“this was necessary”); non-Western states justify through legal norms (“this violates the UN Charter”). Both are legitimation, but in different registers. Confirms H4.</w:t>
      </w:r>
    </w:p>
    <w:p>
      <w:pPr>
        <w:spacing w:before="280" w:after="40"/>
        <w:pBdr>
          <w:bottom w:val="single" w:sz="6" w:space="1" w:color="1F4E79"/>
        </w:pBdr>
      </w:pPr>
      <w:r>
        <w:rPr>
          <w:rFonts w:ascii="Calibri" w:hAnsi="Calibri"/>
          <w:b/>
          <w:color w:val="1F4E79"/>
          <w:sz w:val="26"/>
        </w:rPr>
        <w:t>Figure 4.3 — Role Distribution by Bloc — Nine Communicative Roles</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Horizontal grouped bar charts, three panels (one per bloc). Vertical axis: the 9 roles. Horizontal axis: percentage of segments with that role as dominant. Labels in brackets show the Habermas type: [comm], [norm], [dram], [stra].</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A longer bar means the role dominates more often. Compare the same role across the three panels.</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Justification is the longest bar in all three blocs — it is universal. Legal normative and sovereignty norm are substantially longer in Soviet/Eastern and Non-Aligned blocs. In the Western panel, justification occupies almost everything. Strategic roles (denial, counter-accusation, delegitimation) show zero bars across all three panels.</w:t>
      </w:r>
    </w:p>
    <w:p>
      <w:pPr>
        <w:spacing w:before="80" w:after="200"/>
        <w:ind w:left="340"/>
        <w:pBdr>
          <w:left w:val="single" w:sz="12" w:space="4" w:color="1F4E79"/>
        </w:pBdr>
      </w:pPr>
      <w:r>
        <w:rPr>
          <w:rFonts w:ascii="Calibri" w:hAnsi="Calibri"/>
          <w:color w:val="1F4E79"/>
          <w:sz w:val="22"/>
        </w:rPr>
        <w:t>→ Granular confirmation of H4: the gap between blocs is specifically about legal_normative and sovereignty_norm. Also final confirmation of H2: strategic roles are visibly absent everywhere.</w:t>
      </w:r>
    </w:p>
    <w:p>
      <w:pPr>
        <w:spacing w:before="280" w:after="40"/>
        <w:pBdr>
          <w:bottom w:val="single" w:sz="6" w:space="1" w:color="1F4E79"/>
        </w:pBdr>
      </w:pPr>
      <w:r>
        <w:rPr>
          <w:rFonts w:ascii="Calibri" w:hAnsi="Calibri"/>
          <w:b/>
          <w:color w:val="1F4E79"/>
          <w:sz w:val="26"/>
        </w:rPr>
        <w:t>Figure 4.4 — Adjusted Residuals Heatmap — Communicative Roles × Cold War Bloc</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heatmap of standardized residuals. Rows: communicative roles. Columns: three blocs. The number in each cell shows how much the observed frequency deviates from what would be expected if role and bloc were unrelated. Red = over-represented, blue = under-represented. An asterisk marks cells where |z| ≥ 1.96 (statistically significant).</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Look for cells with asterisks and large absolute values — these are the role-bloc combinations that most strongly drive the overall association.</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Justification in the Western bloc: +3.1* (the strongest value in the entire table). Legal_normative in the Western bloc: −1.9 (under-represented), in Non-Aligned: +1.5. Sovereignty_norm follows the same pattern. Overall: χ²(8) = 14.20, p = .077, V = .271.</w:t>
      </w:r>
    </w:p>
    <w:p>
      <w:pPr>
        <w:spacing w:before="80" w:after="200"/>
        <w:ind w:left="340"/>
        <w:pBdr>
          <w:left w:val="single" w:sz="12" w:space="4" w:color="1F4E79"/>
        </w:pBdr>
      </w:pPr>
      <w:r>
        <w:rPr>
          <w:rFonts w:ascii="Calibri" w:hAnsi="Calibri"/>
          <w:color w:val="1F4E79"/>
          <w:sz w:val="22"/>
        </w:rPr>
        <w:t>→ Identifies exactly which roles produce the bloc differences. Justification pulls Western apart from the other two blocs. Legal_norm pulls non-Western in the opposite direction. Granular confirmation of H4.</w:t>
      </w:r>
    </w:p>
    <w:p>
      <w:pPr>
        <w:spacing w:before="280" w:after="40"/>
        <w:pBdr>
          <w:bottom w:val="single" w:sz="6" w:space="1" w:color="1F4E79"/>
        </w:pBdr>
      </w:pPr>
      <w:r>
        <w:rPr>
          <w:rFonts w:ascii="Calibri" w:hAnsi="Calibri"/>
          <w:b/>
          <w:color w:val="1F4E79"/>
          <w:sz w:val="26"/>
        </w:rPr>
        <w:t>Figure 4.5 — Communicative vs. Strategic Action by Cold War Bloc</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grouped bar chart with error bars. Three groups (blocs). Two bars per group: blue = share of communicative action, red = share of strategic action. Error bars show ±1 standard error of the mean across case-years.</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Bar height = average percentage of segments for that bloc. Red bars should be small if strategic action is rare.</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Blue bars: Western ~48%, Soviet/Eastern ~67%, Non-Aligned ~69%. Red bars: ~4%, ~6%, ~14% — all very small. Communicative action dominates in every bloc.</w:t>
      </w:r>
    </w:p>
    <w:p>
      <w:pPr>
        <w:spacing w:before="80" w:after="200"/>
        <w:ind w:left="340"/>
        <w:pBdr>
          <w:left w:val="single" w:sz="12" w:space="4" w:color="1F4E79"/>
        </w:pBdr>
      </w:pPr>
      <w:r>
        <w:rPr>
          <w:rFonts w:ascii="Calibri" w:hAnsi="Calibri"/>
          <w:color w:val="1F4E79"/>
          <w:sz w:val="22"/>
        </w:rPr>
        <w:t>→ Even when looking at averages across case-years (not just across segments), communicative action dominates and strategic action is minimal. Additional confirmation of H2 from a different angle.</w:t>
      </w:r>
    </w:p>
    <w:p>
      <w:pPr>
        <w:spacing w:before="280" w:after="40"/>
        <w:pBdr>
          <w:bottom w:val="single" w:sz="6" w:space="1" w:color="1F4E79"/>
        </w:pBdr>
      </w:pPr>
      <w:r>
        <w:rPr>
          <w:rFonts w:ascii="Calibri" w:hAnsi="Calibri"/>
          <w:b/>
          <w:color w:val="1F4E79"/>
          <w:sz w:val="26"/>
        </w:rPr>
        <w:t>Figure 4.6 — Pairwise Fisher’s Exact Tests — Habermas Types Across Blocs</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heatmap matrix. Rows: four Habermas types. Columns: three pairwise bloc comparisons (Western vs Soviet/Eastern, Western vs Non-Aligned, Soviet/Eastern vs Non-Aligned). Each cell shows the p-value from Fisher’s exact test.</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Green cells = statistically significant difference (p &lt; .05). Red cells = not significant. n.s. = not significant. The smaller the p-value, the stronger the difference between the two blocs on that action type.</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Normative action, Western vs Soviet/Eastern: p = .023 (green). Western vs Non-Aligned: p = .003 (dark green). Communicative action, Western vs Non-Aligned: p = .005 (green). Soviet/Eastern vs Non-Aligned: all p &gt; .18 (red, not significant). All strategic comparisons: p = 1.000 (because strategic = 0% in all blocs).</w:t>
      </w:r>
    </w:p>
    <w:p>
      <w:pPr>
        <w:spacing w:before="80" w:after="200"/>
        <w:ind w:left="340"/>
        <w:pBdr>
          <w:left w:val="single" w:sz="12" w:space="4" w:color="1F4E79"/>
        </w:pBdr>
      </w:pPr>
      <w:r>
        <w:rPr>
          <w:rFonts w:ascii="Calibri" w:hAnsi="Calibri"/>
          <w:color w:val="1F4E79"/>
          <w:sz w:val="22"/>
        </w:rPr>
        <w:t>→ Western bloc differs significantly from both others on normative framing. Soviet/Eastern and Non-Aligned are statistically indistinguishable from each other. Direct confirmation of H4 through exact tests.</w:t>
      </w:r>
    </w:p>
    <w:p>
      <w:pPr>
        <w:spacing w:before="280" w:after="40"/>
        <w:pBdr>
          <w:bottom w:val="single" w:sz="6" w:space="1" w:color="1F4E79"/>
        </w:pBdr>
      </w:pPr>
      <w:r>
        <w:rPr>
          <w:rFonts w:ascii="Calibri" w:hAnsi="Calibri"/>
          <w:b/>
          <w:color w:val="1F4E79"/>
          <w:sz w:val="26"/>
        </w:rPr>
        <w:t>Figure 4.7 — Habermas Action Types by Historical Period</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stacked bar chart — like Figure 4.2, but with four bars for historical periods instead of blocs: Cold War (1946–89), Post-Cold War (1990–2001), Post-9/11 (2002–13), Post-2014.</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Compare the height of green (communicative) and blue (normative) across the four bars. Look for the period where the reversal happens.</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Cold War: normative 64%, communicative 9%. Post-Cold War: normative 57%, communicative 39%. Post-9/11: REVERSAL — communicative 71%, normative 16%. Post-2014: partial reversion — communicative 59%, normative recovers to 26%. χ²(6) = 21.06, p = .0018, V = .33.</w:t>
      </w:r>
    </w:p>
    <w:p>
      <w:pPr>
        <w:spacing w:before="80" w:after="200"/>
        <w:ind w:left="340"/>
        <w:pBdr>
          <w:left w:val="single" w:sz="12" w:space="4" w:color="1F4E79"/>
        </w:pBdr>
      </w:pPr>
      <w:r>
        <w:rPr>
          <w:rFonts w:ascii="Calibri" w:hAnsi="Calibri"/>
          <w:color w:val="1F4E79"/>
          <w:sz w:val="22"/>
        </w:rPr>
        <w:t>→ The strongest statistical result in the entire study. September 2001 is a discursive threshold crossing, not a gradual drift. Legitimation through necessity arguments and counter-terrorism framing displaced legal-normative invocations. Direct confirmation of H3.</w:t>
      </w:r>
    </w:p>
    <w:p>
      <w:pPr>
        <w:spacing w:before="280" w:after="40"/>
        <w:pBdr>
          <w:bottom w:val="single" w:sz="6" w:space="1" w:color="1F4E79"/>
        </w:pBdr>
      </w:pPr>
      <w:r>
        <w:rPr>
          <w:rFonts w:ascii="Calibri" w:hAnsi="Calibri"/>
          <w:b/>
          <w:color w:val="1F4E79"/>
          <w:sz w:val="26"/>
        </w:rPr>
        <w:t>Figure 4.8 — Communicative Role Distribution Across Historical Periods</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detailed version of Figure 4.7 showing all 9 roles (not just 4 Habermas types). Four bars for the four periods. Each color corresponds to a specific role. Labels in brackets show the Habermas type.</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Track how a specific color changes from period to period.</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Justification (green, comm): grows from 9% in Cold War to 39% in Post-CW to 71% in Post-9/11. Legal_normative (blue, norm): falls from 27% in Cold War to 10% in Post-9/11, then partially recovers to 15% in Post-2014. Sovereignty_norm follows the same declining-then-recovering pattern.</w:t>
      </w:r>
    </w:p>
    <w:p>
      <w:pPr>
        <w:spacing w:before="80" w:after="200"/>
        <w:ind w:left="340"/>
        <w:pBdr>
          <w:left w:val="single" w:sz="12" w:space="4" w:color="1F4E79"/>
        </w:pBdr>
      </w:pPr>
      <w:r>
        <w:rPr>
          <w:rFonts w:ascii="Calibri" w:hAnsi="Calibri"/>
          <w:color w:val="1F4E79"/>
          <w:sz w:val="22"/>
        </w:rPr>
        <w:t>→ Specifies HOW the H3 shift happens: justification/counter-terrorism rises while Charter invocations fall. The post-2014 recovery of legal-normative framing reflects renewed sovereignty-revisionist argumentation in a normatively fragmented environment.</w:t>
      </w:r>
    </w:p>
    <w:p>
      <w:pPr>
        <w:spacing w:before="280" w:after="40"/>
        <w:pBdr>
          <w:bottom w:val="single" w:sz="6" w:space="1" w:color="1F4E79"/>
        </w:pBdr>
      </w:pPr>
      <w:r>
        <w:rPr>
          <w:rFonts w:ascii="Calibri" w:hAnsi="Calibri"/>
          <w:b/>
          <w:color w:val="1F4E79"/>
          <w:sz w:val="26"/>
        </w:rPr>
        <w:t>Figure 4.9 — Temporal Evolution of Selected Keyword Signals by Cold War Bloc</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line graph with three panels (terrorism signal, humanitarian signal, whataboutism signal). Horizontal axis: decades from 1946 to the 2020s. Vertical axis: mean keyword frequency per 1,000 words. Three colored lines = three blocs. Shaded areas = ±1 standard error. Dashed vertical line marks the 9/11 threshold.</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A rising line means the signal is strengthening. If three lines move together and overlap after 2001 — that is convergence.</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"Terrorism" signal: all three lines near zero before 2001, then sharp simultaneous spike across all three. Lines interweave after 2001 — no bloc-based separation. "Humanitarian": gradual growth across all blocs. "Whataboutism": low and stable.</w:t>
      </w:r>
    </w:p>
    <w:p>
      <w:pPr>
        <w:spacing w:before="80" w:after="200"/>
        <w:ind w:left="340"/>
        <w:pBdr>
          <w:left w:val="single" w:sz="12" w:space="4" w:color="1F4E79"/>
        </w:pBdr>
      </w:pPr>
      <w:r>
        <w:rPr>
          <w:rFonts w:ascii="Calibri" w:hAnsi="Calibri"/>
          <w:color w:val="1F4E79"/>
          <w:sz w:val="22"/>
        </w:rPr>
        <w:t>→ Visual confirmation of H1. Counter-terrorism rhetoric grew in ALL three blocs simultaneously. Lines converge rather than diverge. This is ideational convergence in action.</w:t>
      </w:r>
    </w:p>
    <w:p>
      <w:pPr>
        <w:spacing w:before="280" w:after="40"/>
        <w:pBdr>
          <w:bottom w:val="single" w:sz="6" w:space="1" w:color="1F4E79"/>
        </w:pBdr>
      </w:pPr>
      <w:r>
        <w:rPr>
          <w:rFonts w:ascii="Calibri" w:hAnsi="Calibri"/>
          <w:b/>
          <w:color w:val="1F4E79"/>
          <w:sz w:val="26"/>
        </w:rPr>
        <w:t>Figure 4.10 — Pre-2001 vs. Post-2001 Counter-Terrorism Signal by Bloc</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Box plots — three panels (one per bloc). Each panel has two boxes: Pre-2001 and Post-2001. The box shows the interquartile range (middle 50% of values). The line inside = median. Whiskers = range excluding outliers. Dots outside = outliers. A bracket with *** above the pair signals p &lt; .001 from a two-sample t-test.</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Compare the right box (Post-2001) to the left box (Pre-2001) within each panel. A higher right box means the signal increased. The bracket tells you whether that increase is statistically significant.</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All three panels: Post-2001 box is clearly higher. *** in every panel. ANOVA Pre-2001: F = 0.39, p = .678 (no inter-bloc differentiation). ANOVA Post-2001: F = 1.25, p = .288 (no inter-bloc differentiation either).</w:t>
      </w:r>
    </w:p>
    <w:p>
      <w:pPr>
        <w:spacing w:before="80" w:after="200"/>
        <w:ind w:left="340"/>
        <w:pBdr>
          <w:left w:val="single" w:sz="12" w:space="4" w:color="1F4E79"/>
        </w:pBdr>
      </w:pPr>
      <w:r>
        <w:rPr>
          <w:rFonts w:ascii="Calibri" w:hAnsi="Calibri"/>
          <w:color w:val="1F4E79"/>
          <w:sz w:val="22"/>
        </w:rPr>
        <w:t>→ Quantitative and visual answer to H1. All three blocs grew significantly on the terrorism signal after 9/11 (p &lt; .001 each), and there is no statistically significant difference between blocs in either period (ANOVA p &gt; .28). That combination — universal increase, no bloc differentiation — is ideational convergence.</w:t>
      </w:r>
    </w:p>
    <w:p>
      <w:pPr>
        <w:spacing w:before="280" w:after="40"/>
        <w:pBdr>
          <w:bottom w:val="single" w:sz="6" w:space="1" w:color="1F4E79"/>
        </w:pBdr>
      </w:pPr>
      <w:r>
        <w:rPr>
          <w:rFonts w:ascii="Calibri" w:hAnsi="Calibri"/>
          <w:b/>
          <w:color w:val="1F4E79"/>
          <w:sz w:val="26"/>
        </w:rPr>
        <w:t>Figure 4.11 — Seven Legitimation Signals by Cold War Bloc: Pre- and Post-2001 Comparison</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grouped bar chart with two large blocks: Pre-2001 (1946–2001) and Post-2001 (2002–2023). Within each block, seven groups of bars corresponding to the seven keyword signals (terrorism, self-defense, sovereignty, humanitarian, whataboutism, procedural, historical). Each group has three bars (three blocs). Error bars = ±1 SEM.</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Compare the same color (same bloc) between the left side (Pre-2001) and the right side (Post-2001). A higher right bar means the signal grew after 9/11.</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Terrorism signal: by far the largest growth. All three colored bars are substantially higher on the right, and their heights are similar — convergence. Self-defense: moderate growth. Humanitarian: growth across all blocs. Whataboutism, historical: low and stable. Procedural: minor changes.</w:t>
      </w:r>
    </w:p>
    <w:p>
      <w:pPr>
        <w:spacing w:before="80" w:after="200"/>
        <w:ind w:left="340"/>
        <w:pBdr>
          <w:left w:val="single" w:sz="12" w:space="4" w:color="1F4E79"/>
        </w:pBdr>
      </w:pPr>
      <w:r>
        <w:rPr>
          <w:rFonts w:ascii="Calibri" w:hAnsi="Calibri"/>
          <w:color w:val="1F4E79"/>
          <w:sz w:val="22"/>
        </w:rPr>
        <w:t>→ Complete picture of all seven signals. Counter-terrorism is the unambiguous leader in both magnitude of change and cross-bloc convergence. Confirms H1 is not an artifact of focusing on one signal — it holds across the full signal battery.</w:t>
      </w:r>
    </w:p>
    <w:p>
      <w:pPr>
        <w:spacing w:before="280" w:after="40"/>
        <w:pBdr>
          <w:bottom w:val="single" w:sz="6" w:space="1" w:color="1F4E79"/>
        </w:pBdr>
      </w:pPr>
      <w:r>
        <w:rPr>
          <w:rFonts w:ascii="Calibri" w:hAnsi="Calibri"/>
          <w:b/>
          <w:color w:val="1F4E79"/>
          <w:sz w:val="26"/>
        </w:rPr>
        <w:t>Figure 4.12 — Correspondence Analysis Biplot — Communicative Roles × Cold War Blocs</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 CA biplot (correspondence analysis biplot). A two-dimensional space where points (roles and blocs) are placed according to their statistical associations. Think of it as a map: points that are close together are associated. Three bloc markers: blue square = Western, orange diamond = Soviet/Eastern, green triangle = Non-Aligned. Colored circles = 9 roles (color encodes Habermas type). Dimension 1 = 82.5% of inertia, Dimension 2 = 17.5%.</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Proximity = association. A role marker near a bloc marker means that bloc uses that role more than expected. Distance from the origin = how distinctive the point is. Points near the center are close to the average profile.</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Western bloc (blue square, −0.555) is positioned left, near justification (−0.334). Non-Aligned (green triangle, +0.350) is right, near legal_normative (+0.392) and sovereignty_norm (+0.379). Soviet/Eastern is near the origin (+0.028). victim_narrative is far below (−1.243 on Dim 2) — this is an outlier pattern (a few specific cases), not a systematic one.</w:t>
      </w:r>
    </w:p>
    <w:p>
      <w:pPr>
        <w:spacing w:before="80" w:after="200"/>
        <w:ind w:left="340"/>
        <w:pBdr>
          <w:left w:val="single" w:sz="12" w:space="4" w:color="1F4E79"/>
        </w:pBdr>
      </w:pPr>
      <w:r>
        <w:rPr>
          <w:rFonts w:ascii="Calibri" w:hAnsi="Calibri"/>
          <w:color w:val="1F4E79"/>
          <w:sz w:val="22"/>
        </w:rPr>
        <w:t>→ Geometric version of the H4 finding. The axis “justification ↔ legal_normative / sovereignty_norm” separates Western from Non-Aligned. 82.5% inertia on one dimension means the structure is essentially one-dimensional — a single rhetorical axis accounts for almost all variation between blocs.</w:t>
      </w:r>
    </w:p>
    <w:p>
      <w:pPr>
        <w:spacing w:before="280" w:after="40"/>
        <w:pBdr>
          <w:bottom w:val="single" w:sz="6" w:space="1" w:color="1F4E79"/>
        </w:pBdr>
      </w:pPr>
      <w:r>
        <w:rPr>
          <w:rFonts w:ascii="Calibri" w:hAnsi="Calibri"/>
          <w:b/>
          <w:color w:val="1F4E79"/>
          <w:sz w:val="26"/>
        </w:rPr>
        <w:t>Figure 4.13 — Scree Plots for Correspondence Analysis (Roles × Blocs and Roles × Periods)</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Two scree plots (“elbow plots”). Blue bars = percentage of inertia explained by each CA dimension. Red line = cumulative inertia. Left plot: roles vs blocs. Right plot: roles vs periods.</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Look at how large the first bar is relative to the rest. If the first bar is very large and the others are small, the data structure is essentially one-dimensional. The 80% threshold on the cumulative line is the conventional “enough” marker.</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Roles × Blocs: Dimension 1 = 82.5%, Dimension 2 = 17.5%, Dimension 3 = 0%. The first bar dominates. Roles × Periods: Dimension 1 = 61.6%, Dimension 2 = 29.9%. More complex structure requiring two dimensions.</w:t>
      </w:r>
    </w:p>
    <w:p>
      <w:pPr>
        <w:spacing w:before="80" w:after="200"/>
        <w:ind w:left="340"/>
        <w:pBdr>
          <w:left w:val="single" w:sz="12" w:space="4" w:color="1F4E79"/>
        </w:pBdr>
      </w:pPr>
      <w:r>
        <w:rPr>
          <w:rFonts w:ascii="Calibri" w:hAnsi="Calibri"/>
          <w:color w:val="1F4E79"/>
          <w:sz w:val="22"/>
        </w:rPr>
        <w:t>→ Technical but important. For blocs: 82.5% of differentiation in one dimension means the entire geopolitical axis of variation is essentially a single rhetorical continuum (justification vs legal_norm invocation). For periods: the structure requires two dimensions, reflecting a more complex trajectory. This justifies the 2D interpretation of Figures 4.12 and 4.14.</w:t>
      </w:r>
    </w:p>
    <w:p>
      <w:pPr>
        <w:spacing w:before="280" w:after="40"/>
        <w:pBdr>
          <w:bottom w:val="single" w:sz="6" w:space="1" w:color="1F4E79"/>
        </w:pBdr>
      </w:pPr>
      <w:r>
        <w:rPr>
          <w:rFonts w:ascii="Calibri" w:hAnsi="Calibri"/>
          <w:b/>
          <w:color w:val="1F4E79"/>
          <w:sz w:val="26"/>
        </w:rPr>
        <w:t>Figure 4.14 — CA Biplot — Communicative Roles × Historical Periods</w:t>
      </w:r>
    </w:p>
    <w:p>
      <w:pPr>
        <w:spacing w:before="120" w:after="20"/>
      </w:pPr>
      <w:r>
        <w:rPr>
          <w:rFonts w:ascii="Calibri" w:hAnsi="Calibri"/>
          <w:b/>
          <w:color w:val="C06000"/>
          <w:sz w:val="20"/>
        </w:rPr>
        <w:t>WHAT TYPE OF GRAPH IS THIS?</w:t>
      </w:r>
    </w:p>
    <w:p>
      <w:pPr>
        <w:spacing w:before="0" w:after="120" w:line="300" w:lineRule="exact"/>
      </w:pPr>
      <w:r>
        <w:rPr>
          <w:rFonts w:ascii="Calibri" w:hAnsi="Calibri"/>
          <w:color w:val="000000"/>
          <w:sz w:val="22"/>
        </w:rPr>
        <w:t>Analogous to Figure 4.12 but substituting historical periods for geopolitical blocs. Four period markers: Cold War (dark blue diamond), Post-CW (blue diamond), Post-9/11 (orange diamond), Post-2014 (red diamond). Same colored role markers as Figure 4.12. Dimension 1 = 61.6%, Dimension 2 = 29.9%.</w:t>
      </w:r>
    </w:p>
    <w:p>
      <w:pPr>
        <w:spacing w:before="120" w:after="20"/>
      </w:pPr>
      <w:r>
        <w:rPr>
          <w:rFonts w:ascii="Calibri" w:hAnsi="Calibri"/>
          <w:b/>
          <w:color w:val="C06000"/>
          <w:sz w:val="20"/>
        </w:rPr>
        <w:t>HOW TO READ IT</w:t>
      </w:r>
    </w:p>
    <w:p>
      <w:pPr>
        <w:spacing w:before="0" w:after="120" w:line="300" w:lineRule="exact"/>
      </w:pPr>
      <w:r>
        <w:rPr>
          <w:rFonts w:ascii="Calibri" w:hAnsi="Calibri"/>
          <w:color w:val="000000"/>
          <w:sz w:val="22"/>
        </w:rPr>
        <w:t>Proximity of a period marker to a role marker means that role is characteristic of that period. The horizontal axis (Dim 1, 61.6%) is the main axis of change over time.</w:t>
      </w:r>
    </w:p>
    <w:p>
      <w:pPr>
        <w:spacing w:before="120" w:after="20"/>
      </w:pPr>
      <w:r>
        <w:rPr>
          <w:rFonts w:ascii="Calibri" w:hAnsi="Calibri"/>
          <w:b/>
          <w:color w:val="C06000"/>
          <w:sz w:val="20"/>
        </w:rPr>
        <w:t>WHAT THE DATA SHOW</w:t>
      </w:r>
    </w:p>
    <w:p>
      <w:pPr>
        <w:spacing w:before="0" w:after="120" w:line="300" w:lineRule="exact"/>
      </w:pPr>
      <w:r>
        <w:rPr>
          <w:rFonts w:ascii="Calibri" w:hAnsi="Calibri"/>
          <w:color w:val="000000"/>
          <w:sz w:val="22"/>
        </w:rPr>
        <w:t>Cold War (dark blue) is far right, near sovereignty_norm and the Cold War period (+1.0 on Dim 1). This is the normative-invocation cluster. Post-9/11 (orange) and Post-2014 (red) are left (−0.2 to −0.3), near justification. Post-CW (blue) is lower right, near legal_normative — a transitional position. historical_context floats upward (separate, dramaturgical cluster).</w:t>
      </w:r>
    </w:p>
    <w:p>
      <w:pPr>
        <w:spacing w:before="80" w:after="200"/>
        <w:ind w:left="340"/>
        <w:pBdr>
          <w:left w:val="single" w:sz="12" w:space="4" w:color="1F4E79"/>
        </w:pBdr>
      </w:pPr>
      <w:r>
        <w:rPr>
          <w:rFonts w:ascii="Calibri" w:hAnsi="Calibri"/>
          <w:color w:val="1F4E79"/>
          <w:sz w:val="22"/>
        </w:rPr>
        <w:t>→ Temporal version of Figure 4.12. Cold War discourse is rhetorically closer to the non-Western style (legal norms). Post-9/11 discourse shifted toward the Western pole (argumentation and justification). Visual confirmation of H3: September 2001 did not just change the numbers — it shifted the entire structure of legitimation discourse.</w:t>
      </w:r>
    </w:p>
    <w:p>
      <w:r>
        <w:br w:type="page"/>
      </w:r>
    </w:p>
    <w:p>
      <w:pPr>
        <w:spacing w:before="360" w:after="80"/>
        <w:pBdr>
          <w:bottom w:val="single" w:sz="8" w:space="1" w:color="1F4E79"/>
        </w:pBdr>
      </w:pPr>
      <w:r>
        <w:rPr>
          <w:rFonts w:ascii="Calibri" w:hAnsi="Calibri"/>
          <w:b/>
          <w:color w:val="1F4E79"/>
          <w:sz w:val="30"/>
        </w:rPr>
        <w:t>Quick Reference: All 14 Figures at a Glance</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F4E79"/>
          </w:tcPr>
          <w:p>
            <w:r>
              <w:rPr>
                <w:rFonts w:ascii="Calibri" w:hAnsi="Calibri"/>
                <w:b/>
                <w:color w:val="FFFFFF"/>
                <w:sz w:val="20"/>
              </w:rPr>
              <w:t>Figure</w:t>
            </w:r>
          </w:p>
        </w:tc>
        <w:tc>
          <w:tcPr>
            <w:tcW w:type="dxa" w:w="2422"/>
            <w:shd w:val="clear" w:color="auto" w:fill="1F4E79"/>
          </w:tcPr>
          <w:p>
            <w:r>
              <w:rPr>
                <w:rFonts w:ascii="Calibri" w:hAnsi="Calibri"/>
                <w:b/>
                <w:color w:val="FFFFFF"/>
                <w:sz w:val="20"/>
              </w:rPr>
              <w:t>Title</w:t>
            </w:r>
          </w:p>
        </w:tc>
        <w:tc>
          <w:tcPr>
            <w:tcW w:type="dxa" w:w="2422"/>
            <w:shd w:val="clear" w:color="auto" w:fill="1F4E79"/>
          </w:tcPr>
          <w:p>
            <w:r>
              <w:rPr>
                <w:rFonts w:ascii="Calibri" w:hAnsi="Calibri"/>
                <w:b/>
                <w:color w:val="FFFFFF"/>
                <w:sz w:val="20"/>
              </w:rPr>
              <w:t>Hypothesis</w:t>
            </w:r>
          </w:p>
        </w:tc>
        <w:tc>
          <w:tcPr>
            <w:tcW w:type="dxa" w:w="2422"/>
            <w:shd w:val="clear" w:color="auto" w:fill="1F4E79"/>
          </w:tcPr>
          <w:p>
            <w:r>
              <w:rPr>
                <w:rFonts w:ascii="Calibri" w:hAnsi="Calibri"/>
                <w:b/>
                <w:color w:val="FFFFFF"/>
                <w:sz w:val="20"/>
              </w:rPr>
              <w:t>Key finding</w:t>
            </w:r>
          </w:p>
        </w:tc>
      </w:tr>
      <w:tr>
        <w:tc>
          <w:tcPr>
            <w:tcW w:type="dxa" w:w="2422"/>
          </w:tcPr>
          <w:p>
            <w:r>
              <w:rPr>
                <w:rFonts w:ascii="Calibri" w:hAnsi="Calibri"/>
                <w:sz w:val="19"/>
              </w:rPr>
              <w:t>4.1</w:t>
            </w:r>
          </w:p>
        </w:tc>
        <w:tc>
          <w:tcPr>
            <w:tcW w:type="dxa" w:w="2422"/>
          </w:tcPr>
          <w:p>
            <w:r>
              <w:rPr>
                <w:rFonts w:ascii="Calibri" w:hAnsi="Calibri"/>
                <w:sz w:val="19"/>
              </w:rPr>
              <w:t>Role Heatmap</w:t>
            </w:r>
          </w:p>
        </w:tc>
        <w:tc>
          <w:tcPr>
            <w:tcW w:type="dxa" w:w="2422"/>
          </w:tcPr>
          <w:p>
            <w:r>
              <w:rPr>
                <w:rFonts w:ascii="Calibri" w:hAnsi="Calibri"/>
                <w:sz w:val="19"/>
              </w:rPr>
              <w:t>H2</w:t>
            </w:r>
          </w:p>
        </w:tc>
        <w:tc>
          <w:tcPr>
            <w:tcW w:type="dxa" w:w="2422"/>
          </w:tcPr>
          <w:p>
            <w:r>
              <w:rPr>
                <w:rFonts w:ascii="Calibri" w:hAnsi="Calibri"/>
                <w:sz w:val="19"/>
              </w:rPr>
              <w:t>Strategic roles = 0 everywhere. UNGA requires legitimation.</w:t>
            </w:r>
          </w:p>
        </w:tc>
      </w:tr>
      <w:tr>
        <w:tc>
          <w:tcPr>
            <w:tcW w:type="dxa" w:w="2422"/>
          </w:tcPr>
          <w:p>
            <w:r>
              <w:rPr>
                <w:rFonts w:ascii="Calibri" w:hAnsi="Calibri"/>
                <w:sz w:val="19"/>
              </w:rPr>
              <w:t>4.2</w:t>
            </w:r>
          </w:p>
        </w:tc>
        <w:tc>
          <w:tcPr>
            <w:tcW w:type="dxa" w:w="2422"/>
          </w:tcPr>
          <w:p>
            <w:r>
              <w:rPr>
                <w:rFonts w:ascii="Calibri" w:hAnsi="Calibri"/>
                <w:sz w:val="19"/>
              </w:rPr>
              <w:t>Habermas by Bloc (stacked bar)</w:t>
            </w:r>
          </w:p>
        </w:tc>
        <w:tc>
          <w:tcPr>
            <w:tcW w:type="dxa" w:w="2422"/>
          </w:tcPr>
          <w:p>
            <w:r>
              <w:rPr>
                <w:rFonts w:ascii="Calibri" w:hAnsi="Calibri"/>
                <w:sz w:val="19"/>
              </w:rPr>
              <w:t>H4</w:t>
            </w:r>
          </w:p>
        </w:tc>
        <w:tc>
          <w:tcPr>
            <w:tcW w:type="dxa" w:w="2422"/>
          </w:tcPr>
          <w:p>
            <w:r>
              <w:rPr>
                <w:rFonts w:ascii="Calibri" w:hAnsi="Calibri"/>
                <w:sz w:val="19"/>
              </w:rPr>
              <w:t>Western 79% comm, Non-Aligned 49% norm.</w:t>
            </w:r>
          </w:p>
        </w:tc>
      </w:tr>
      <w:tr>
        <w:tc>
          <w:tcPr>
            <w:tcW w:type="dxa" w:w="2422"/>
          </w:tcPr>
          <w:p>
            <w:r>
              <w:rPr>
                <w:rFonts w:ascii="Calibri" w:hAnsi="Calibri"/>
                <w:sz w:val="19"/>
              </w:rPr>
              <w:t>4.3</w:t>
            </w:r>
          </w:p>
        </w:tc>
        <w:tc>
          <w:tcPr>
            <w:tcW w:type="dxa" w:w="2422"/>
          </w:tcPr>
          <w:p>
            <w:r>
              <w:rPr>
                <w:rFonts w:ascii="Calibri" w:hAnsi="Calibri"/>
                <w:sz w:val="19"/>
              </w:rPr>
              <w:t>Nine Roles by Bloc (horizontal bars)</w:t>
            </w:r>
          </w:p>
        </w:tc>
        <w:tc>
          <w:tcPr>
            <w:tcW w:type="dxa" w:w="2422"/>
          </w:tcPr>
          <w:p>
            <w:r>
              <w:rPr>
                <w:rFonts w:ascii="Calibri" w:hAnsi="Calibri"/>
                <w:sz w:val="19"/>
              </w:rPr>
              <w:t>H4</w:t>
            </w:r>
          </w:p>
        </w:tc>
        <w:tc>
          <w:tcPr>
            <w:tcW w:type="dxa" w:w="2422"/>
          </w:tcPr>
          <w:p>
            <w:r>
              <w:rPr>
                <w:rFonts w:ascii="Calibri" w:hAnsi="Calibri"/>
                <w:sz w:val="19"/>
              </w:rPr>
              <w:t>Justification universal; legal_norm concentrated in non-Western.</w:t>
            </w:r>
          </w:p>
        </w:tc>
      </w:tr>
      <w:tr>
        <w:tc>
          <w:tcPr>
            <w:tcW w:type="dxa" w:w="2422"/>
          </w:tcPr>
          <w:p>
            <w:r>
              <w:rPr>
                <w:rFonts w:ascii="Calibri" w:hAnsi="Calibri"/>
                <w:sz w:val="19"/>
              </w:rPr>
              <w:t>4.4</w:t>
            </w:r>
          </w:p>
        </w:tc>
        <w:tc>
          <w:tcPr>
            <w:tcW w:type="dxa" w:w="2422"/>
          </w:tcPr>
          <w:p>
            <w:r>
              <w:rPr>
                <w:rFonts w:ascii="Calibri" w:hAnsi="Calibri"/>
                <w:sz w:val="19"/>
              </w:rPr>
              <w:t>Adjusted Residuals Heatmap</w:t>
            </w:r>
          </w:p>
        </w:tc>
        <w:tc>
          <w:tcPr>
            <w:tcW w:type="dxa" w:w="2422"/>
          </w:tcPr>
          <w:p>
            <w:r>
              <w:rPr>
                <w:rFonts w:ascii="Calibri" w:hAnsi="Calibri"/>
                <w:sz w:val="19"/>
              </w:rPr>
              <w:t>H4</w:t>
            </w:r>
          </w:p>
        </w:tc>
        <w:tc>
          <w:tcPr>
            <w:tcW w:type="dxa" w:w="2422"/>
          </w:tcPr>
          <w:p>
            <w:r>
              <w:rPr>
                <w:rFonts w:ascii="Calibri" w:hAnsi="Calibri"/>
                <w:sz w:val="19"/>
              </w:rPr>
              <w:t>Justification +3.1* in Western; legal_norm in non-Western.</w:t>
            </w:r>
          </w:p>
        </w:tc>
      </w:tr>
      <w:tr>
        <w:tc>
          <w:tcPr>
            <w:tcW w:type="dxa" w:w="2422"/>
          </w:tcPr>
          <w:p>
            <w:r>
              <w:rPr>
                <w:rFonts w:ascii="Calibri" w:hAnsi="Calibri"/>
                <w:sz w:val="19"/>
              </w:rPr>
              <w:t>4.5</w:t>
            </w:r>
          </w:p>
        </w:tc>
        <w:tc>
          <w:tcPr>
            <w:tcW w:type="dxa" w:w="2422"/>
          </w:tcPr>
          <w:p>
            <w:r>
              <w:rPr>
                <w:rFonts w:ascii="Calibri" w:hAnsi="Calibri"/>
                <w:sz w:val="19"/>
              </w:rPr>
              <w:t>Comm vs Strategic by Bloc (bar+errors)</w:t>
            </w:r>
          </w:p>
        </w:tc>
        <w:tc>
          <w:tcPr>
            <w:tcW w:type="dxa" w:w="2422"/>
          </w:tcPr>
          <w:p>
            <w:r>
              <w:rPr>
                <w:rFonts w:ascii="Calibri" w:hAnsi="Calibri"/>
                <w:sz w:val="19"/>
              </w:rPr>
              <w:t>H2</w:t>
            </w:r>
          </w:p>
        </w:tc>
        <w:tc>
          <w:tcPr>
            <w:tcW w:type="dxa" w:w="2422"/>
          </w:tcPr>
          <w:p>
            <w:r>
              <w:rPr>
                <w:rFonts w:ascii="Calibri" w:hAnsi="Calibri"/>
                <w:sz w:val="19"/>
              </w:rPr>
              <w:t>Strategic action minimal across all blocs.</w:t>
            </w:r>
          </w:p>
        </w:tc>
      </w:tr>
      <w:tr>
        <w:tc>
          <w:tcPr>
            <w:tcW w:type="dxa" w:w="2422"/>
          </w:tcPr>
          <w:p>
            <w:r>
              <w:rPr>
                <w:rFonts w:ascii="Calibri" w:hAnsi="Calibri"/>
                <w:sz w:val="19"/>
              </w:rPr>
              <w:t>4.6</w:t>
            </w:r>
          </w:p>
        </w:tc>
        <w:tc>
          <w:tcPr>
            <w:tcW w:type="dxa" w:w="2422"/>
          </w:tcPr>
          <w:p>
            <w:r>
              <w:rPr>
                <w:rFonts w:ascii="Calibri" w:hAnsi="Calibri"/>
                <w:sz w:val="19"/>
              </w:rPr>
              <w:t>Fisher Pairwise p-values (heatmap)</w:t>
            </w:r>
          </w:p>
        </w:tc>
        <w:tc>
          <w:tcPr>
            <w:tcW w:type="dxa" w:w="2422"/>
          </w:tcPr>
          <w:p>
            <w:r>
              <w:rPr>
                <w:rFonts w:ascii="Calibri" w:hAnsi="Calibri"/>
                <w:sz w:val="19"/>
              </w:rPr>
              <w:t>H4</w:t>
            </w:r>
          </w:p>
        </w:tc>
        <w:tc>
          <w:tcPr>
            <w:tcW w:type="dxa" w:w="2422"/>
          </w:tcPr>
          <w:p>
            <w:r>
              <w:rPr>
                <w:rFonts w:ascii="Calibri" w:hAnsi="Calibri"/>
                <w:sz w:val="19"/>
              </w:rPr>
              <w:t>Western ≠ others: p=.023/.003. Soviet ≈ Non-Aligned.</w:t>
            </w:r>
          </w:p>
        </w:tc>
      </w:tr>
      <w:tr>
        <w:tc>
          <w:tcPr>
            <w:tcW w:type="dxa" w:w="2422"/>
          </w:tcPr>
          <w:p>
            <w:r>
              <w:rPr>
                <w:rFonts w:ascii="Calibri" w:hAnsi="Calibri"/>
                <w:sz w:val="19"/>
              </w:rPr>
              <w:t>4.7</w:t>
            </w:r>
          </w:p>
        </w:tc>
        <w:tc>
          <w:tcPr>
            <w:tcW w:type="dxa" w:w="2422"/>
          </w:tcPr>
          <w:p>
            <w:r>
              <w:rPr>
                <w:rFonts w:ascii="Calibri" w:hAnsi="Calibri"/>
                <w:sz w:val="19"/>
              </w:rPr>
              <w:t>Habermas by Period (stacked bar)</w:t>
            </w:r>
          </w:p>
        </w:tc>
        <w:tc>
          <w:tcPr>
            <w:tcW w:type="dxa" w:w="2422"/>
          </w:tcPr>
          <w:p>
            <w:r>
              <w:rPr>
                <w:rFonts w:ascii="Calibri" w:hAnsi="Calibri"/>
                <w:sz w:val="19"/>
              </w:rPr>
              <w:t>H3</w:t>
            </w:r>
          </w:p>
        </w:tc>
        <w:tc>
          <w:tcPr>
            <w:tcW w:type="dxa" w:w="2422"/>
          </w:tcPr>
          <w:p>
            <w:r>
              <w:rPr>
                <w:rFonts w:ascii="Calibri" w:hAnsi="Calibri"/>
                <w:sz w:val="19"/>
              </w:rPr>
              <w:t>CW norm 64%, Post-9/11 comm 71%. Threshold crossing.</w:t>
            </w:r>
          </w:p>
        </w:tc>
      </w:tr>
      <w:tr>
        <w:tc>
          <w:tcPr>
            <w:tcW w:type="dxa" w:w="2422"/>
          </w:tcPr>
          <w:p>
            <w:r>
              <w:rPr>
                <w:rFonts w:ascii="Calibri" w:hAnsi="Calibri"/>
                <w:sz w:val="19"/>
              </w:rPr>
              <w:t>4.8</w:t>
            </w:r>
          </w:p>
        </w:tc>
        <w:tc>
          <w:tcPr>
            <w:tcW w:type="dxa" w:w="2422"/>
          </w:tcPr>
          <w:p>
            <w:r>
              <w:rPr>
                <w:rFonts w:ascii="Calibri" w:hAnsi="Calibri"/>
                <w:sz w:val="19"/>
              </w:rPr>
              <w:t>Nine Roles by Period (stacked bar)</w:t>
            </w:r>
          </w:p>
        </w:tc>
        <w:tc>
          <w:tcPr>
            <w:tcW w:type="dxa" w:w="2422"/>
          </w:tcPr>
          <w:p>
            <w:r>
              <w:rPr>
                <w:rFonts w:ascii="Calibri" w:hAnsi="Calibri"/>
                <w:sz w:val="19"/>
              </w:rPr>
              <w:t>H3</w:t>
            </w:r>
          </w:p>
        </w:tc>
        <w:tc>
          <w:tcPr>
            <w:tcW w:type="dxa" w:w="2422"/>
          </w:tcPr>
          <w:p>
            <w:r>
              <w:rPr>
                <w:rFonts w:ascii="Calibri" w:hAnsi="Calibri"/>
                <w:sz w:val="19"/>
              </w:rPr>
              <w:t>Justification rises; legal_norm falls sharply after 2001.</w:t>
            </w:r>
          </w:p>
        </w:tc>
      </w:tr>
      <w:tr>
        <w:tc>
          <w:tcPr>
            <w:tcW w:type="dxa" w:w="2422"/>
          </w:tcPr>
          <w:p>
            <w:r>
              <w:rPr>
                <w:rFonts w:ascii="Calibri" w:hAnsi="Calibri"/>
                <w:sz w:val="19"/>
              </w:rPr>
              <w:t>4.9</w:t>
            </w:r>
          </w:p>
        </w:tc>
        <w:tc>
          <w:tcPr>
            <w:tcW w:type="dxa" w:w="2422"/>
          </w:tcPr>
          <w:p>
            <w:r>
              <w:rPr>
                <w:rFonts w:ascii="Calibri" w:hAnsi="Calibri"/>
                <w:sz w:val="19"/>
              </w:rPr>
              <w:t>Keyword signals over time (line graph)</w:t>
            </w:r>
          </w:p>
        </w:tc>
        <w:tc>
          <w:tcPr>
            <w:tcW w:type="dxa" w:w="2422"/>
          </w:tcPr>
          <w:p>
            <w:r>
              <w:rPr>
                <w:rFonts w:ascii="Calibri" w:hAnsi="Calibri"/>
                <w:sz w:val="19"/>
              </w:rPr>
              <w:t>H1</w:t>
            </w:r>
          </w:p>
        </w:tc>
        <w:tc>
          <w:tcPr>
            <w:tcW w:type="dxa" w:w="2422"/>
          </w:tcPr>
          <w:p>
            <w:r>
              <w:rPr>
                <w:rFonts w:ascii="Calibri" w:hAnsi="Calibri"/>
                <w:sz w:val="19"/>
              </w:rPr>
              <w:t>Terrorism signal converges across all three blocs post-9/11.</w:t>
            </w:r>
          </w:p>
        </w:tc>
      </w:tr>
      <w:tr>
        <w:tc>
          <w:tcPr>
            <w:tcW w:type="dxa" w:w="2422"/>
          </w:tcPr>
          <w:p>
            <w:r>
              <w:rPr>
                <w:rFonts w:ascii="Calibri" w:hAnsi="Calibri"/>
                <w:sz w:val="19"/>
              </w:rPr>
              <w:t>4.10</w:t>
            </w:r>
          </w:p>
        </w:tc>
        <w:tc>
          <w:tcPr>
            <w:tcW w:type="dxa" w:w="2422"/>
          </w:tcPr>
          <w:p>
            <w:r>
              <w:rPr>
                <w:rFonts w:ascii="Calibri" w:hAnsi="Calibri"/>
                <w:sz w:val="19"/>
              </w:rPr>
              <w:t>Pre/Post-2001 boxplots</w:t>
            </w:r>
          </w:p>
        </w:tc>
        <w:tc>
          <w:tcPr>
            <w:tcW w:type="dxa" w:w="2422"/>
          </w:tcPr>
          <w:p>
            <w:r>
              <w:rPr>
                <w:rFonts w:ascii="Calibri" w:hAnsi="Calibri"/>
                <w:sz w:val="19"/>
              </w:rPr>
              <w:t>H1</w:t>
            </w:r>
          </w:p>
        </w:tc>
        <w:tc>
          <w:tcPr>
            <w:tcW w:type="dxa" w:w="2422"/>
          </w:tcPr>
          <w:p>
            <w:r>
              <w:rPr>
                <w:rFonts w:ascii="Calibri" w:hAnsi="Calibri"/>
                <w:sz w:val="19"/>
              </w:rPr>
              <w:t>*** in all 3 blocs; ANOVA n.s. between blocs.</w:t>
            </w:r>
          </w:p>
        </w:tc>
      </w:tr>
      <w:tr>
        <w:tc>
          <w:tcPr>
            <w:tcW w:type="dxa" w:w="2422"/>
          </w:tcPr>
          <w:p>
            <w:r>
              <w:rPr>
                <w:rFonts w:ascii="Calibri" w:hAnsi="Calibri"/>
                <w:sz w:val="19"/>
              </w:rPr>
              <w:t>4.11</w:t>
            </w:r>
          </w:p>
        </w:tc>
        <w:tc>
          <w:tcPr>
            <w:tcW w:type="dxa" w:w="2422"/>
          </w:tcPr>
          <w:p>
            <w:r>
              <w:rPr>
                <w:rFonts w:ascii="Calibri" w:hAnsi="Calibri"/>
                <w:sz w:val="19"/>
              </w:rPr>
              <w:t>All 7 signals Pre/Post-2001 (bar chart)</w:t>
            </w:r>
          </w:p>
        </w:tc>
        <w:tc>
          <w:tcPr>
            <w:tcW w:type="dxa" w:w="2422"/>
          </w:tcPr>
          <w:p>
            <w:r>
              <w:rPr>
                <w:rFonts w:ascii="Calibri" w:hAnsi="Calibri"/>
                <w:sz w:val="19"/>
              </w:rPr>
              <w:t>H1</w:t>
            </w:r>
          </w:p>
        </w:tc>
        <w:tc>
          <w:tcPr>
            <w:tcW w:type="dxa" w:w="2422"/>
          </w:tcPr>
          <w:p>
            <w:r>
              <w:rPr>
                <w:rFonts w:ascii="Calibri" w:hAnsi="Calibri"/>
                <w:sz w:val="19"/>
              </w:rPr>
              <w:t>Terrorism leads; convergence holds across the full signal battery.</w:t>
            </w:r>
          </w:p>
        </w:tc>
      </w:tr>
      <w:tr>
        <w:tc>
          <w:tcPr>
            <w:tcW w:type="dxa" w:w="2422"/>
          </w:tcPr>
          <w:p>
            <w:r>
              <w:rPr>
                <w:rFonts w:ascii="Calibri" w:hAnsi="Calibri"/>
                <w:sz w:val="19"/>
              </w:rPr>
              <w:t>4.12</w:t>
            </w:r>
          </w:p>
        </w:tc>
        <w:tc>
          <w:tcPr>
            <w:tcW w:type="dxa" w:w="2422"/>
          </w:tcPr>
          <w:p>
            <w:r>
              <w:rPr>
                <w:rFonts w:ascii="Calibri" w:hAnsi="Calibri"/>
                <w:sz w:val="19"/>
              </w:rPr>
              <w:t>CA Biplot Roles × Blocs</w:t>
            </w:r>
          </w:p>
        </w:tc>
        <w:tc>
          <w:tcPr>
            <w:tcW w:type="dxa" w:w="2422"/>
          </w:tcPr>
          <w:p>
            <w:r>
              <w:rPr>
                <w:rFonts w:ascii="Calibri" w:hAnsi="Calibri"/>
                <w:sz w:val="19"/>
              </w:rPr>
              <w:t>H4</w:t>
            </w:r>
          </w:p>
        </w:tc>
        <w:tc>
          <w:tcPr>
            <w:tcW w:type="dxa" w:w="2422"/>
          </w:tcPr>
          <w:p>
            <w:r>
              <w:rPr>
                <w:rFonts w:ascii="Calibri" w:hAnsi="Calibri"/>
                <w:sz w:val="19"/>
              </w:rPr>
              <w:t>Western ← justification; Non-Aligned → legal_norm.</w:t>
            </w:r>
          </w:p>
        </w:tc>
      </w:tr>
      <w:tr>
        <w:tc>
          <w:tcPr>
            <w:tcW w:type="dxa" w:w="2422"/>
          </w:tcPr>
          <w:p>
            <w:r>
              <w:rPr>
                <w:rFonts w:ascii="Calibri" w:hAnsi="Calibri"/>
                <w:sz w:val="19"/>
              </w:rPr>
              <w:t>4.13</w:t>
            </w:r>
          </w:p>
        </w:tc>
        <w:tc>
          <w:tcPr>
            <w:tcW w:type="dxa" w:w="2422"/>
          </w:tcPr>
          <w:p>
            <w:r>
              <w:rPr>
                <w:rFonts w:ascii="Calibri" w:hAnsi="Calibri"/>
                <w:sz w:val="19"/>
              </w:rPr>
              <w:t>Scree Plots (blocs + periods)</w:t>
            </w:r>
          </w:p>
        </w:tc>
        <w:tc>
          <w:tcPr>
            <w:tcW w:type="dxa" w:w="2422"/>
          </w:tcPr>
          <w:p>
            <w:r>
              <w:rPr>
                <w:rFonts w:ascii="Calibri" w:hAnsi="Calibri"/>
                <w:sz w:val="19"/>
              </w:rPr>
              <w:t>H3/H4</w:t>
            </w:r>
          </w:p>
        </w:tc>
        <w:tc>
          <w:tcPr>
            <w:tcW w:type="dxa" w:w="2422"/>
          </w:tcPr>
          <w:p>
            <w:r>
              <w:rPr>
                <w:rFonts w:ascii="Calibri" w:hAnsi="Calibri"/>
                <w:sz w:val="19"/>
              </w:rPr>
              <w:t>For blocs: 82.5% in 1 dimension (essentially one-dimensional).</w:t>
            </w:r>
          </w:p>
        </w:tc>
      </w:tr>
      <w:tr>
        <w:tc>
          <w:tcPr>
            <w:tcW w:type="dxa" w:w="2422"/>
          </w:tcPr>
          <w:p>
            <w:r>
              <w:rPr>
                <w:rFonts w:ascii="Calibri" w:hAnsi="Calibri"/>
                <w:sz w:val="19"/>
              </w:rPr>
              <w:t>4.14</w:t>
            </w:r>
          </w:p>
        </w:tc>
        <w:tc>
          <w:tcPr>
            <w:tcW w:type="dxa" w:w="2422"/>
          </w:tcPr>
          <w:p>
            <w:r>
              <w:rPr>
                <w:rFonts w:ascii="Calibri" w:hAnsi="Calibri"/>
                <w:sz w:val="19"/>
              </w:rPr>
              <w:t>CA Biplot Roles × Periods</w:t>
            </w:r>
          </w:p>
        </w:tc>
        <w:tc>
          <w:tcPr>
            <w:tcW w:type="dxa" w:w="2422"/>
          </w:tcPr>
          <w:p>
            <w:r>
              <w:rPr>
                <w:rFonts w:ascii="Calibri" w:hAnsi="Calibri"/>
                <w:sz w:val="19"/>
              </w:rPr>
              <w:t>H3</w:t>
            </w:r>
          </w:p>
        </w:tc>
        <w:tc>
          <w:tcPr>
            <w:tcW w:type="dxa" w:w="2422"/>
          </w:tcPr>
          <w:p>
            <w:r>
              <w:rPr>
                <w:rFonts w:ascii="Calibri" w:hAnsi="Calibri"/>
                <w:sz w:val="19"/>
              </w:rPr>
              <w:t>Cold War → normative pole; Post-9/11 → communicative pole.</w:t>
            </w:r>
          </w:p>
        </w:tc>
      </w:tr>
    </w:tbl>
    <w:p>
      <w:r>
        <w:br w:type="page"/>
      </w:r>
    </w:p>
    <w:p>
      <w:pPr>
        <w:spacing w:before="360" w:after="80"/>
        <w:pBdr>
          <w:bottom w:val="single" w:sz="8" w:space="1" w:color="1F4E79"/>
        </w:pBdr>
      </w:pPr>
      <w:r>
        <w:rPr>
          <w:rFonts w:ascii="Calibri" w:hAnsi="Calibri"/>
          <w:b/>
          <w:color w:val="1F4E79"/>
          <w:sz w:val="30"/>
        </w:rPr>
        <w:t>Geopolitical Blocs: Why This Classification and What Each Contains</w:t>
      </w:r>
    </w:p>
    <w:p>
      <w:pPr>
        <w:spacing w:before="120" w:after="20"/>
      </w:pPr>
      <w:r>
        <w:rPr>
          <w:rFonts w:ascii="Calibri" w:hAnsi="Calibri"/>
          <w:b/>
          <w:color w:val="C06000"/>
          <w:sz w:val="20"/>
        </w:rPr>
        <w:t>WHY COLD WAR BLOCS RATHER THAN UN REGIONAL GROUPS OR CONTEMPORARY ALLIANCES?</w:t>
      </w:r>
    </w:p>
    <w:p>
      <w:pPr>
        <w:spacing w:before="0" w:after="120" w:line="300" w:lineRule="exact"/>
      </w:pPr>
      <w:r>
        <w:rPr>
          <w:rFonts w:ascii="Calibri" w:hAnsi="Calibri"/>
          <w:color w:val="000000"/>
          <w:sz w:val="22"/>
        </w:rPr>
        <w:t>The study covers 77 years of UNGA discourse — 1946 to 2023. The majority of that period (44 years, through 1989) falls within the predominantly bipolar Cold War international system. The core theoretical argument: if legitimation strategies are shaped by the normative standards that a speaker’s core audience treats as legitimate grounds — which Habermas’s framework predicts — then bloc membership during the Cold War period should predict rhetorical patterns in ways that post-Cold War alliance configurations or regional groupings would not capture as cleanly. The three blocs correspond to distinct normative traditions within the postwar UN architecture. UN regional groups are geographically defined and do not map onto normative positions. Contemporary alliance configurations have shifted substantially since 1991 and cannot be applied retroactively without distortion.</w:t>
      </w:r>
    </w:p>
    <w:p>
      <w:pPr>
        <w:spacing w:before="0" w:after="120" w:line="300" w:lineRule="exact"/>
      </w:pPr>
      <w:r>
        <w:rPr>
          <w:rFonts w:ascii="Calibri" w:hAnsi="Calibri"/>
          <w:color w:val="000000"/>
          <w:sz w:val="22"/>
        </w:rPr>
        <w:t>One technical complication: fourteen Eastern European states joined NATO after 1991 (Poland, Hungary, Czech Republic, the Baltic states, and others). The study handles this through a period-aware transition rule: these states retain their Soviet/Eastern classification until their year of NATO accession, after which they are reclassified as Western. None of these transitioning states appear in the 33-case sample, so the rule does not affect the reported results — but it preserves conceptual integrity for any expanded analysis.</w:t>
      </w:r>
    </w:p>
    <w:p>
      <w:pPr>
        <w:spacing w:before="120" w:after="20"/>
      </w:pPr>
      <w:r>
        <w:rPr>
          <w:rFonts w:ascii="Calibri" w:hAnsi="Calibri"/>
          <w:b/>
          <w:color w:val="C06000"/>
          <w:sz w:val="20"/>
        </w:rPr>
        <w:t>WESTERN BLOC — NATO MEMBER STATES AND FORMAL ALLIES</w:t>
      </w:r>
    </w:p>
    <w:p>
      <w:pPr>
        <w:spacing w:before="0" w:after="120" w:line="300" w:lineRule="exact"/>
      </w:pPr>
      <w:r>
        <w:rPr>
          <w:rFonts w:ascii="Calibri" w:hAnsi="Calibri"/>
          <w:color w:val="000000"/>
          <w:sz w:val="22"/>
        </w:rPr>
        <w:t>Case-years in the sample:</w:t>
        <w:br/>
        <w:t>•  United States: multiple cases (1965 — Vietnam; 1983 — Grenada; 1999 — Kosovo; 2003 — Iraq invasion; 2004 — Abu Ghraib allegations)</w:t>
        <w:br/>
        <w:t>•  United Kingdom: 1956 (Suez Crisis)</w:t>
        <w:br/>
        <w:t>•  Israel: 2006 (Second Lebanon War); 2009 (Operation Cast Lead)</w:t>
        <w:br/>
        <w:t>•  Turkey: 2019 (Operation Peace Spring in northeast Syria)</w:t>
        <w:br/>
        <w:br/>
        <w:t>Normative context: liberal internationalist framework emphasizing rule-based order, human rights conditionality, Security Council legitimacy. However, many of the most contested Western actions (Iraq 2003, Kosovo 1999) were undertaken without Security Council authorization under Chapter VII. This structurally prevents direct Charter invocation — because those very norms would render the conduct indefensible. The result is a shift to quasi-legal necessity argumentation: constructing the action as necessary, proportionate, and defensive through factual argument rather than citing treaty provisions. Iraq 2003 is the most transparent example: with the Security Council divided and no explicit authorization, the US delegation could not ground its legitimation in Chapter VII and instead constructed a necessity argument based on Iraqi WMD non-compliance and Resolution 1441.</w:t>
      </w:r>
    </w:p>
    <w:p>
      <w:pPr>
        <w:spacing w:before="120" w:after="20"/>
      </w:pPr>
      <w:r>
        <w:rPr>
          <w:rFonts w:ascii="Calibri" w:hAnsi="Calibri"/>
          <w:b/>
          <w:color w:val="C06000"/>
          <w:sz w:val="20"/>
        </w:rPr>
        <w:t>SOVIET/EASTERN BLOC — WARSAW PACT STATES AND SOVIET-ALIGNED GOVERNMENTS</w:t>
      </w:r>
    </w:p>
    <w:p>
      <w:pPr>
        <w:spacing w:before="0" w:after="120" w:line="300" w:lineRule="exact"/>
      </w:pPr>
      <w:r>
        <w:rPr>
          <w:rFonts w:ascii="Calibri" w:hAnsi="Calibri"/>
          <w:color w:val="000000"/>
          <w:sz w:val="22"/>
        </w:rPr>
        <w:t>Case-years in the sample:</w:t>
        <w:br/>
        <w:t>•  Russia/USSR: multiple cases (1956 — Hungary; 1968 — Czechoslovakia; 1980 — Afghanistan; 1995, 2000 — First and Second Chechen campaigns; 2008 — Georgia; 2014 — Crimea; 2022 — Ukraine)</w:t>
        <w:br/>
        <w:t>•  North Korea: 2006 (nuclear programme)</w:t>
        <w:br/>
        <w:t>•  Vietnam: 1980 (military presence in Cambodia)</w:t>
        <w:br/>
        <w:br/>
        <w:t>Normative context: formal sovereignty and non-interference as counterweights to Western interventionism. The UN Charter — particularly Article 2(7) on non-interference in internal affairs — is used as a legal shield. Characteristic moves include appeals to collective security obligations, host-government invitation (Afghanistan, Czechoslovakia), and formal legal equality among states. Russia’s 2000 address on the Second Chechen campaign is a representative case: 83% of its classified content falls in the justification role, presenting the operation as a necessary counter-terrorism response — demonstrating that the "war on terror" discursive logic was already present in Russian UNGA rhetoric before September 2001.</w:t>
      </w:r>
    </w:p>
    <w:p>
      <w:pPr>
        <w:spacing w:before="120" w:after="20"/>
      </w:pPr>
      <w:r>
        <w:rPr>
          <w:rFonts w:ascii="Calibri" w:hAnsi="Calibri"/>
          <w:b/>
          <w:color w:val="C06000"/>
          <w:sz w:val="20"/>
        </w:rPr>
        <w:t>NON-ALIGNED MOVEMENT (NAM) — FORMALLY UNCOMMITTED GOVERNMENTS</w:t>
      </w:r>
    </w:p>
    <w:p>
      <w:pPr>
        <w:spacing w:before="0" w:after="120" w:line="300" w:lineRule="exact"/>
      </w:pPr>
      <w:r>
        <w:rPr>
          <w:rFonts w:ascii="Calibri" w:hAnsi="Calibri"/>
          <w:color w:val="000000"/>
          <w:sz w:val="22"/>
        </w:rPr>
        <w:t>Case-years in the sample:</w:t>
        <w:br/>
        <w:t>•  Iraq: 1990 (Kuwait intervention), 1997 (sanctions/WMD inspections)</w:t>
        <w:br/>
        <w:t>•  Indonesia: 1992 (East Timor), 1999 (post-referendum violence)</w:t>
        <w:br/>
        <w:t>•  China: 1997 (Tibet and Xinjiang)</w:t>
        <w:br/>
        <w:t>•  Iran: 2011 (IAEA findings on nuclear programme)</w:t>
        <w:br/>
        <w:t>•  Syria: 2013 (Eastern Ghouta chemical weapons allegations)</w:t>
        <w:br/>
        <w:t>•  South Africa: 1960 (apartheid-era human rights allegations)</w:t>
        <w:br/>
        <w:t>•  Azerbaijan: 2020 (Second Nagorno-Karabakh conflict)</w:t>
        <w:br/>
        <w:t>•  Saudi Arabia: 2015 (Yemen intervention)</w:t>
        <w:br/>
        <w:t>•  Myanmar: 2017 (Rohingya crisis)</w:t>
        <w:br/>
        <w:t>•  Ethiopia: 2021 (Tigray conflict)</w:t>
        <w:br/>
        <w:t>•  Yugoslavia: 2001</w:t>
        <w:br/>
        <w:br/>
        <w:t>Normative context: anti-colonialism, sovereign equality, non-interference, and self-determination — the Bandung tradition. These states predominantly face allegations concerning the exercise of domestic sovereign authority (human rights, treatment of minorities, internal armed conflicts). For those allegation types, the non-interference principle and formal legal equality — codified in Charter Article 2(7) — provide the most immediately available and normatively legitimate response. China’s 1997 speech on Tibet and Xinjiang illustrates this: 67% of its classified content is legal_normative (Charter-grounded claims about internal sovereignty) and 33% sovereignty_norm (non-interference principle). Iraq’s 1990 speech on Kuwait deploys an extended normative-legal argument about historical treaty rights and the legal status of Kuwait relative to Iraqi territorial jurisdiction — pure legal argumentation without counter-terrorism framing.</w:t>
      </w:r>
    </w:p>
    <w:p>
      <w:pPr>
        <w:spacing w:before="120" w:after="20"/>
      </w:pPr>
      <w:r>
        <w:rPr>
          <w:rFonts w:ascii="Calibri" w:hAnsi="Calibri"/>
          <w:b/>
          <w:color w:val="C06000"/>
          <w:sz w:val="20"/>
        </w:rPr>
        <w:t>WHY ARE SOVIET/EASTERN AND NON-ALIGNED STATISTICALLY INDISTINGUISHABLE?</w:t>
      </w:r>
    </w:p>
    <w:p>
      <w:pPr>
        <w:spacing w:before="0" w:after="120" w:line="300" w:lineRule="exact"/>
      </w:pPr>
      <w:r>
        <w:rPr>
          <w:rFonts w:ascii="Calibri" w:hAnsi="Calibri"/>
          <w:color w:val="000000"/>
          <w:sz w:val="22"/>
        </w:rPr>
        <w:t>Fisher’s exact tests show: Soviet/Eastern vs Non-Aligned — p &gt; .18 on all Habermas types. They are not significantly differentiated from each other despite very different ideological positions in the Cold War. The explanation is structural. Both blocs predominantly face allegations that involve the exercise of sovereign authority — uses of force against domestic populations, internal conflicts, territorial claims. For these allegation types, the Charter’s sovereignty architecture (Article 2(7), formal legal equality) provides the most directly applicable normative resource. Western states, by contrast, have predominantly faced allegations arising from external military conduct undertaken without Security Council authorization — a context where Charter invocation is structurally unavailable or counterproductive.</w:t>
      </w:r>
    </w:p>
    <w:p>
      <w:pPr>
        <w:spacing w:before="120" w:after="20"/>
      </w:pPr>
      <w:r>
        <w:rPr>
          <w:rFonts w:ascii="Calibri" w:hAnsi="Calibri"/>
          <w:b/>
          <w:color w:val="C06000"/>
          <w:sz w:val="20"/>
        </w:rPr>
        <w:t>IMPORTANT: THIS IS NOT ABOUT WHICH BLOC IS MORE LAW-ABIDING</w:t>
      </w:r>
    </w:p>
    <w:p>
      <w:pPr>
        <w:spacing w:before="0" w:after="120" w:line="300" w:lineRule="exact"/>
      </w:pPr>
      <w:r>
        <w:rPr>
          <w:rFonts w:ascii="Calibri" w:hAnsi="Calibri"/>
          <w:color w:val="000000"/>
          <w:sz w:val="22"/>
        </w:rPr>
        <w:t>The difference in rhetorical register does not indicate that one bloc is more committed to international law than another. It reflects structurally conditioned asymmetries. Koskenniemi’s (2005) account of the structure of international legal argument is instructive: legal argumentation oscillates between descending claims (appeals to objective norms) and ascending claims (appeals to state consent and practice). States whose contested actions fall outside the formal Charter authorization framework face a structural disincentive against descending Charter invocations — because those very norms would render their conduct indefensible. The quasi-legal justificatory register characteristic of Western diplomatic argumentation is, in this reading, a structurally conditioned adaptation rather than a strategic preference or evidence of lesser normative commitment. Conversely, non-Western states’ preference for formal Charter invocation reflects the centrality of sovereignty protection to states whose primary exposure to international criticism concerns the exercise of domestic authority rather than external military projection.</w:t>
      </w:r>
    </w:p>
    <w:p>
      <w:r>
        <w:br w:type="page"/>
      </w:r>
    </w:p>
    <w:p>
      <w:pPr>
        <w:spacing w:before="360" w:after="80"/>
        <w:pBdr>
          <w:bottom w:val="single" w:sz="8" w:space="1" w:color="1F4E79"/>
        </w:pBdr>
      </w:pPr>
      <w:r>
        <w:rPr>
          <w:rFonts w:ascii="Calibri" w:hAnsi="Calibri"/>
          <w:b/>
          <w:color w:val="1F4E79"/>
          <w:sz w:val="30"/>
        </w:rPr>
        <w:t>Exact Geopolitical Bloc Membership Used in the Code</w:t>
      </w:r>
    </w:p>
    <w:p>
      <w:pPr>
        <w:spacing w:before="0" w:after="120" w:line="300" w:lineRule="exact"/>
      </w:pPr>
      <w:r>
        <w:rPr>
          <w:rFonts w:ascii="Calibri" w:hAnsi="Calibri"/>
          <w:color w:val="000000"/>
          <w:sz w:val="22"/>
        </w:rPr>
        <w:t>This section lists the exact ISO-3 country codes used in the Python analysis scripts (corpus_eda.py — STATE_GROUPS and BLOC_TRANSITIONS dictionaries). These are the complete definitions used for all statistical tests, figures, and hypothesis assessments.</w:t>
      </w:r>
    </w:p>
    <w:p>
      <w:pPr>
        <w:spacing w:before="160" w:after="40"/>
      </w:pPr>
      <w:r>
        <w:rPr>
          <w:rFonts w:ascii="Calibri" w:hAnsi="Calibri"/>
          <w:b/>
          <w:color w:val="2166AC"/>
          <w:sz w:val="20"/>
        </w:rPr>
        <w:t>WESTERN BLOC — NATO MEMBERS AND FORMAL ALLIES</w:t>
      </w:r>
    </w:p>
    <w:p>
      <w:pPr>
        <w:spacing w:before="0" w:after="120" w:line="300" w:lineRule="exact"/>
      </w:pPr>
      <w:r>
        <w:rPr>
          <w:rFonts w:ascii="Calibri" w:hAnsi="Calibri"/>
          <w:color w:val="000000"/>
          <w:sz w:val="22"/>
        </w:rPr>
        <w:t>Total: 31 countries</w:t>
        <w:br/>
        <w:br/>
        <w:t xml:space="preserve">  AND (Andorra) | AUS (Australia) | AUT (Austria) | BEL (Belgium)</w:t>
        <w:br/>
        <w:t xml:space="preserve">  CAN (Canada) | CHE (Switzerland) | CIV (Côte d'Ivoire) | DEU (Germany)</w:t>
        <w:br/>
        <w:t xml:space="preserve">  DNK (Denmark) | ESP (Spain) | FIN (Finland) | FRA (France)</w:t>
        <w:br/>
        <w:t xml:space="preserve">  GBR (United Kingdom) | GRC (Greece) | IRL (Ireland) | ISL (Iceland)</w:t>
        <w:br/>
        <w:t xml:space="preserve">  ISR (Israel) | ITA (Italy) | JPN (Japan) | LIE (Liechtenstein)</w:t>
        <w:br/>
        <w:t xml:space="preserve">  LUX (Luxembourg) | MCO (Monaco) | NLD (Netherlands) | NOR (Norway)</w:t>
        <w:br/>
        <w:t xml:space="preserve">  NZL (New Zealand) | PRT (Portugal) | SMR (San Marino) | SWE (Sweden)</w:t>
        <w:br/>
        <w:t xml:space="preserve">  TUR (Turkey) | USA (United States) | VAT (Vatican)</w:t>
      </w:r>
    </w:p>
    <w:p>
      <w:pPr>
        <w:spacing w:before="80" w:after="200"/>
        <w:ind w:left="340"/>
        <w:pBdr>
          <w:left w:val="single" w:sz="12" w:space="4" w:color="1F4E79"/>
        </w:pBdr>
      </w:pPr>
      <w:r>
        <w:rPr>
          <w:rFonts w:ascii="Calibri" w:hAnsi="Calibri"/>
          <w:color w:val="1F4E79"/>
          <w:sz w:val="21"/>
        </w:rPr>
        <w:t>In the 33-case sample: USA (1965, 1983, 1999, 2003, 2004), GBR (1956), ISR (2006, 2009), TUR (2019).</w:t>
        <w:br/>
        <w:t>Key structural feature: most contested Western actions were undertaken without UNSC Chapter VII authorization — which structurally prevents direct Charter invocation and pushes toward necessity argumentation.</w:t>
      </w:r>
    </w:p>
    <w:p>
      <w:pPr>
        <w:spacing w:before="160" w:after="40"/>
      </w:pPr>
      <w:r>
        <w:rPr>
          <w:rFonts w:ascii="Calibri" w:hAnsi="Calibri"/>
          <w:b/>
          <w:color w:val="C03020"/>
          <w:sz w:val="20"/>
        </w:rPr>
        <w:t>SOVIET/EASTERN BLOC — WARSAW PACT STATES AND SOVIET-ALIGNED GOVERNMENTS</w:t>
      </w:r>
    </w:p>
    <w:p>
      <w:pPr>
        <w:spacing w:before="0" w:after="120" w:line="300" w:lineRule="exact"/>
      </w:pPr>
      <w:r>
        <w:rPr>
          <w:rFonts w:ascii="Calibri" w:hAnsi="Calibri"/>
          <w:color w:val="000000"/>
          <w:sz w:val="22"/>
        </w:rPr>
        <w:t>Total: 19 countries (including historical states CSK = Czechoslovakia, DDR = East Germany)</w:t>
        <w:br/>
        <w:br/>
        <w:t xml:space="preserve">  ARM (Armenia) | AZE (Azerbaijan) | BLR (Belarus) | CSK (Czechoslovakia)</w:t>
        <w:br/>
        <w:t xml:space="preserve">  CUB (Cuba) | DDR (East Germany) | GEO (Georgia) | KAZ (Kazakhstan)</w:t>
        <w:br/>
        <w:t xml:space="preserve">  KGZ (Kyrgyzstan) | MDA (Moldova) | MNG (Mongolia) | PRK (North Korea)</w:t>
        <w:br/>
        <w:t xml:space="preserve">  RUS (Russia/USSR) | TJK (Tajikistan) | TKM (Turkmenistan) | UKR (Ukraine)</w:t>
        <w:br/>
        <w:t xml:space="preserve">  UZB (Uzbekistan) | VNM (Vietnam) | YMD (Yemen (PDR))</w:t>
      </w:r>
    </w:p>
    <w:p>
      <w:pPr>
        <w:spacing w:before="80" w:after="200"/>
        <w:ind w:left="340"/>
        <w:pBdr>
          <w:left w:val="single" w:sz="12" w:space="4" w:color="1F4E79"/>
        </w:pBdr>
      </w:pPr>
      <w:r>
        <w:rPr>
          <w:rFonts w:ascii="Calibri" w:hAnsi="Calibri"/>
          <w:color w:val="1F4E79"/>
          <w:sz w:val="21"/>
        </w:rPr>
        <w:t>In the 33-case sample: RUS/USSR (1956 Hungary, 1968 Czechoslovakia, 1980 Afghanistan, 1995 First Chechnya, 2000 Second Chechnya, 2008 Georgia, 2014 Crimea, 2022 Ukraine), PRK (2006), VNM (1980 Cambodia), AZE (2020 Nagorno-Karabakh).</w:t>
      </w:r>
    </w:p>
    <w:p>
      <w:pPr>
        <w:spacing w:before="160" w:after="40"/>
      </w:pPr>
      <w:r>
        <w:rPr>
          <w:rFonts w:ascii="Calibri" w:hAnsi="Calibri"/>
          <w:b/>
          <w:color w:val="555555"/>
          <w:sz w:val="20"/>
        </w:rPr>
        <w:t>NATO ACCESSION TRANSITIONS — RETAIN SOVIET/EASTERN UNTIL ACCESSION YEAR, THEN WESTERN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555555"/>
          </w:tcPr>
          <w:p>
            <w:r>
              <w:rPr>
                <w:rFonts w:ascii="Calibri" w:hAnsi="Calibri"/>
                <w:b/>
                <w:color w:val="FFFFFF"/>
                <w:sz w:val="20"/>
              </w:rPr>
              <w:t>ISO</w:t>
            </w:r>
          </w:p>
        </w:tc>
        <w:tc>
          <w:tcPr>
            <w:tcW w:type="dxa" w:w="3230"/>
            <w:shd w:val="clear" w:color="auto" w:fill="555555"/>
          </w:tcPr>
          <w:p>
            <w:r>
              <w:rPr>
                <w:rFonts w:ascii="Calibri" w:hAnsi="Calibri"/>
                <w:b/>
                <w:color w:val="FFFFFF"/>
                <w:sz w:val="20"/>
              </w:rPr>
              <w:t>Country</w:t>
            </w:r>
          </w:p>
        </w:tc>
        <w:tc>
          <w:tcPr>
            <w:tcW w:type="dxa" w:w="3230"/>
            <w:shd w:val="clear" w:color="auto" w:fill="555555"/>
          </w:tcPr>
          <w:p>
            <w:r>
              <w:rPr>
                <w:rFonts w:ascii="Calibri" w:hAnsi="Calibri"/>
                <w:b/>
                <w:color w:val="FFFFFF"/>
                <w:sz w:val="20"/>
              </w:rPr>
              <w:t>NATO accession year (classification switches to Western)</w:t>
            </w:r>
          </w:p>
        </w:tc>
      </w:tr>
      <w:tr>
        <w:tc>
          <w:tcPr>
            <w:tcW w:type="dxa" w:w="3230"/>
          </w:tcPr>
          <w:p>
            <w:r>
              <w:rPr>
                <w:rFonts w:ascii="Calibri" w:hAnsi="Calibri"/>
                <w:sz w:val="20"/>
              </w:rPr>
              <w:t>POL</w:t>
            </w:r>
          </w:p>
        </w:tc>
        <w:tc>
          <w:tcPr>
            <w:tcW w:type="dxa" w:w="3230"/>
          </w:tcPr>
          <w:p>
            <w:r>
              <w:rPr>
                <w:rFonts w:ascii="Calibri" w:hAnsi="Calibri"/>
                <w:sz w:val="20"/>
              </w:rPr>
              <w:t>Poland</w:t>
            </w:r>
          </w:p>
        </w:tc>
        <w:tc>
          <w:tcPr>
            <w:tcW w:type="dxa" w:w="3230"/>
          </w:tcPr>
          <w:p>
            <w:r>
              <w:rPr>
                <w:rFonts w:ascii="Calibri" w:hAnsi="Calibri"/>
                <w:sz w:val="20"/>
              </w:rPr>
              <w:t>1999</w:t>
            </w:r>
          </w:p>
        </w:tc>
      </w:tr>
      <w:tr>
        <w:tc>
          <w:tcPr>
            <w:tcW w:type="dxa" w:w="3230"/>
          </w:tcPr>
          <w:p>
            <w:r>
              <w:rPr>
                <w:rFonts w:ascii="Calibri" w:hAnsi="Calibri"/>
                <w:sz w:val="20"/>
              </w:rPr>
              <w:t>CZE</w:t>
            </w:r>
          </w:p>
        </w:tc>
        <w:tc>
          <w:tcPr>
            <w:tcW w:type="dxa" w:w="3230"/>
          </w:tcPr>
          <w:p>
            <w:r>
              <w:rPr>
                <w:rFonts w:ascii="Calibri" w:hAnsi="Calibri"/>
                <w:sz w:val="20"/>
              </w:rPr>
              <w:t>Czech Republic</w:t>
            </w:r>
          </w:p>
        </w:tc>
        <w:tc>
          <w:tcPr>
            <w:tcW w:type="dxa" w:w="3230"/>
          </w:tcPr>
          <w:p>
            <w:r>
              <w:rPr>
                <w:rFonts w:ascii="Calibri" w:hAnsi="Calibri"/>
                <w:sz w:val="20"/>
              </w:rPr>
              <w:t>1999</w:t>
            </w:r>
          </w:p>
        </w:tc>
      </w:tr>
      <w:tr>
        <w:tc>
          <w:tcPr>
            <w:tcW w:type="dxa" w:w="3230"/>
          </w:tcPr>
          <w:p>
            <w:r>
              <w:rPr>
                <w:rFonts w:ascii="Calibri" w:hAnsi="Calibri"/>
                <w:sz w:val="20"/>
              </w:rPr>
              <w:t>HUN</w:t>
            </w:r>
          </w:p>
        </w:tc>
        <w:tc>
          <w:tcPr>
            <w:tcW w:type="dxa" w:w="3230"/>
          </w:tcPr>
          <w:p>
            <w:r>
              <w:rPr>
                <w:rFonts w:ascii="Calibri" w:hAnsi="Calibri"/>
                <w:sz w:val="20"/>
              </w:rPr>
              <w:t>Hungary</w:t>
            </w:r>
          </w:p>
        </w:tc>
        <w:tc>
          <w:tcPr>
            <w:tcW w:type="dxa" w:w="3230"/>
          </w:tcPr>
          <w:p>
            <w:r>
              <w:rPr>
                <w:rFonts w:ascii="Calibri" w:hAnsi="Calibri"/>
                <w:sz w:val="20"/>
              </w:rPr>
              <w:t>1999</w:t>
            </w:r>
          </w:p>
        </w:tc>
      </w:tr>
      <w:tr>
        <w:tc>
          <w:tcPr>
            <w:tcW w:type="dxa" w:w="3230"/>
          </w:tcPr>
          <w:p>
            <w:r>
              <w:rPr>
                <w:rFonts w:ascii="Calibri" w:hAnsi="Calibri"/>
                <w:sz w:val="20"/>
              </w:rPr>
              <w:t>BGR</w:t>
            </w:r>
          </w:p>
        </w:tc>
        <w:tc>
          <w:tcPr>
            <w:tcW w:type="dxa" w:w="3230"/>
          </w:tcPr>
          <w:p>
            <w:r>
              <w:rPr>
                <w:rFonts w:ascii="Calibri" w:hAnsi="Calibri"/>
                <w:sz w:val="20"/>
              </w:rPr>
              <w:t>Bulgaria</w:t>
            </w:r>
          </w:p>
        </w:tc>
        <w:tc>
          <w:tcPr>
            <w:tcW w:type="dxa" w:w="3230"/>
          </w:tcPr>
          <w:p>
            <w:r>
              <w:rPr>
                <w:rFonts w:ascii="Calibri" w:hAnsi="Calibri"/>
                <w:sz w:val="20"/>
              </w:rPr>
              <w:t>2004</w:t>
            </w:r>
          </w:p>
        </w:tc>
      </w:tr>
      <w:tr>
        <w:tc>
          <w:tcPr>
            <w:tcW w:type="dxa" w:w="3230"/>
          </w:tcPr>
          <w:p>
            <w:r>
              <w:rPr>
                <w:rFonts w:ascii="Calibri" w:hAnsi="Calibri"/>
                <w:sz w:val="20"/>
              </w:rPr>
              <w:t>ROU</w:t>
            </w:r>
          </w:p>
        </w:tc>
        <w:tc>
          <w:tcPr>
            <w:tcW w:type="dxa" w:w="3230"/>
          </w:tcPr>
          <w:p>
            <w:r>
              <w:rPr>
                <w:rFonts w:ascii="Calibri" w:hAnsi="Calibri"/>
                <w:sz w:val="20"/>
              </w:rPr>
              <w:t>Romania</w:t>
            </w:r>
          </w:p>
        </w:tc>
        <w:tc>
          <w:tcPr>
            <w:tcW w:type="dxa" w:w="3230"/>
          </w:tcPr>
          <w:p>
            <w:r>
              <w:rPr>
                <w:rFonts w:ascii="Calibri" w:hAnsi="Calibri"/>
                <w:sz w:val="20"/>
              </w:rPr>
              <w:t>2004</w:t>
            </w:r>
          </w:p>
        </w:tc>
      </w:tr>
      <w:tr>
        <w:tc>
          <w:tcPr>
            <w:tcW w:type="dxa" w:w="3230"/>
          </w:tcPr>
          <w:p>
            <w:r>
              <w:rPr>
                <w:rFonts w:ascii="Calibri" w:hAnsi="Calibri"/>
                <w:sz w:val="20"/>
              </w:rPr>
              <w:t>SVK</w:t>
            </w:r>
          </w:p>
        </w:tc>
        <w:tc>
          <w:tcPr>
            <w:tcW w:type="dxa" w:w="3230"/>
          </w:tcPr>
          <w:p>
            <w:r>
              <w:rPr>
                <w:rFonts w:ascii="Calibri" w:hAnsi="Calibri"/>
                <w:sz w:val="20"/>
              </w:rPr>
              <w:t>Slovakia</w:t>
            </w:r>
          </w:p>
        </w:tc>
        <w:tc>
          <w:tcPr>
            <w:tcW w:type="dxa" w:w="3230"/>
          </w:tcPr>
          <w:p>
            <w:r>
              <w:rPr>
                <w:rFonts w:ascii="Calibri" w:hAnsi="Calibri"/>
                <w:sz w:val="20"/>
              </w:rPr>
              <w:t>2004</w:t>
            </w:r>
          </w:p>
        </w:tc>
      </w:tr>
      <w:tr>
        <w:tc>
          <w:tcPr>
            <w:tcW w:type="dxa" w:w="3230"/>
          </w:tcPr>
          <w:p>
            <w:r>
              <w:rPr>
                <w:rFonts w:ascii="Calibri" w:hAnsi="Calibri"/>
                <w:sz w:val="20"/>
              </w:rPr>
              <w:t>SVN</w:t>
            </w:r>
          </w:p>
        </w:tc>
        <w:tc>
          <w:tcPr>
            <w:tcW w:type="dxa" w:w="3230"/>
          </w:tcPr>
          <w:p>
            <w:r>
              <w:rPr>
                <w:rFonts w:ascii="Calibri" w:hAnsi="Calibri"/>
                <w:sz w:val="20"/>
              </w:rPr>
              <w:t>Slovenia</w:t>
            </w:r>
          </w:p>
        </w:tc>
        <w:tc>
          <w:tcPr>
            <w:tcW w:type="dxa" w:w="3230"/>
          </w:tcPr>
          <w:p>
            <w:r>
              <w:rPr>
                <w:rFonts w:ascii="Calibri" w:hAnsi="Calibri"/>
                <w:sz w:val="20"/>
              </w:rPr>
              <w:t>2004</w:t>
            </w:r>
          </w:p>
        </w:tc>
      </w:tr>
      <w:tr>
        <w:tc>
          <w:tcPr>
            <w:tcW w:type="dxa" w:w="3230"/>
          </w:tcPr>
          <w:p>
            <w:r>
              <w:rPr>
                <w:rFonts w:ascii="Calibri" w:hAnsi="Calibri"/>
                <w:sz w:val="20"/>
              </w:rPr>
              <w:t>EST</w:t>
            </w:r>
          </w:p>
        </w:tc>
        <w:tc>
          <w:tcPr>
            <w:tcW w:type="dxa" w:w="3230"/>
          </w:tcPr>
          <w:p>
            <w:r>
              <w:rPr>
                <w:rFonts w:ascii="Calibri" w:hAnsi="Calibri"/>
                <w:sz w:val="20"/>
              </w:rPr>
              <w:t>Estonia</w:t>
            </w:r>
          </w:p>
        </w:tc>
        <w:tc>
          <w:tcPr>
            <w:tcW w:type="dxa" w:w="3230"/>
          </w:tcPr>
          <w:p>
            <w:r>
              <w:rPr>
                <w:rFonts w:ascii="Calibri" w:hAnsi="Calibri"/>
                <w:sz w:val="20"/>
              </w:rPr>
              <w:t>2004</w:t>
            </w:r>
          </w:p>
        </w:tc>
      </w:tr>
      <w:tr>
        <w:tc>
          <w:tcPr>
            <w:tcW w:type="dxa" w:w="3230"/>
          </w:tcPr>
          <w:p>
            <w:r>
              <w:rPr>
                <w:rFonts w:ascii="Calibri" w:hAnsi="Calibri"/>
                <w:sz w:val="20"/>
              </w:rPr>
              <w:t>LVA</w:t>
            </w:r>
          </w:p>
        </w:tc>
        <w:tc>
          <w:tcPr>
            <w:tcW w:type="dxa" w:w="3230"/>
          </w:tcPr>
          <w:p>
            <w:r>
              <w:rPr>
                <w:rFonts w:ascii="Calibri" w:hAnsi="Calibri"/>
                <w:sz w:val="20"/>
              </w:rPr>
              <w:t>Latvia</w:t>
            </w:r>
          </w:p>
        </w:tc>
        <w:tc>
          <w:tcPr>
            <w:tcW w:type="dxa" w:w="3230"/>
          </w:tcPr>
          <w:p>
            <w:r>
              <w:rPr>
                <w:rFonts w:ascii="Calibri" w:hAnsi="Calibri"/>
                <w:sz w:val="20"/>
              </w:rPr>
              <w:t>2004</w:t>
            </w:r>
          </w:p>
        </w:tc>
      </w:tr>
      <w:tr>
        <w:tc>
          <w:tcPr>
            <w:tcW w:type="dxa" w:w="3230"/>
          </w:tcPr>
          <w:p>
            <w:r>
              <w:rPr>
                <w:rFonts w:ascii="Calibri" w:hAnsi="Calibri"/>
                <w:sz w:val="20"/>
              </w:rPr>
              <w:t>LTU</w:t>
            </w:r>
          </w:p>
        </w:tc>
        <w:tc>
          <w:tcPr>
            <w:tcW w:type="dxa" w:w="3230"/>
          </w:tcPr>
          <w:p>
            <w:r>
              <w:rPr>
                <w:rFonts w:ascii="Calibri" w:hAnsi="Calibri"/>
                <w:sz w:val="20"/>
              </w:rPr>
              <w:t>Lithuania</w:t>
            </w:r>
          </w:p>
        </w:tc>
        <w:tc>
          <w:tcPr>
            <w:tcW w:type="dxa" w:w="3230"/>
          </w:tcPr>
          <w:p>
            <w:r>
              <w:rPr>
                <w:rFonts w:ascii="Calibri" w:hAnsi="Calibri"/>
                <w:sz w:val="20"/>
              </w:rPr>
              <w:t>2004</w:t>
            </w:r>
          </w:p>
        </w:tc>
      </w:tr>
      <w:tr>
        <w:tc>
          <w:tcPr>
            <w:tcW w:type="dxa" w:w="3230"/>
          </w:tcPr>
          <w:p>
            <w:r>
              <w:rPr>
                <w:rFonts w:ascii="Calibri" w:hAnsi="Calibri"/>
                <w:sz w:val="20"/>
              </w:rPr>
              <w:t>HRV</w:t>
            </w:r>
          </w:p>
        </w:tc>
        <w:tc>
          <w:tcPr>
            <w:tcW w:type="dxa" w:w="3230"/>
          </w:tcPr>
          <w:p>
            <w:r>
              <w:rPr>
                <w:rFonts w:ascii="Calibri" w:hAnsi="Calibri"/>
                <w:sz w:val="20"/>
              </w:rPr>
              <w:t>Croatia</w:t>
            </w:r>
          </w:p>
        </w:tc>
        <w:tc>
          <w:tcPr>
            <w:tcW w:type="dxa" w:w="3230"/>
          </w:tcPr>
          <w:p>
            <w:r>
              <w:rPr>
                <w:rFonts w:ascii="Calibri" w:hAnsi="Calibri"/>
                <w:sz w:val="20"/>
              </w:rPr>
              <w:t>2009</w:t>
            </w:r>
          </w:p>
        </w:tc>
      </w:tr>
      <w:tr>
        <w:tc>
          <w:tcPr>
            <w:tcW w:type="dxa" w:w="3230"/>
          </w:tcPr>
          <w:p>
            <w:r>
              <w:rPr>
                <w:rFonts w:ascii="Calibri" w:hAnsi="Calibri"/>
                <w:sz w:val="20"/>
              </w:rPr>
              <w:t>ALB</w:t>
            </w:r>
          </w:p>
        </w:tc>
        <w:tc>
          <w:tcPr>
            <w:tcW w:type="dxa" w:w="3230"/>
          </w:tcPr>
          <w:p>
            <w:r>
              <w:rPr>
                <w:rFonts w:ascii="Calibri" w:hAnsi="Calibri"/>
                <w:sz w:val="20"/>
              </w:rPr>
              <w:t>Albania</w:t>
            </w:r>
          </w:p>
        </w:tc>
        <w:tc>
          <w:tcPr>
            <w:tcW w:type="dxa" w:w="3230"/>
          </w:tcPr>
          <w:p>
            <w:r>
              <w:rPr>
                <w:rFonts w:ascii="Calibri" w:hAnsi="Calibri"/>
                <w:sz w:val="20"/>
              </w:rPr>
              <w:t>2009</w:t>
            </w:r>
          </w:p>
        </w:tc>
      </w:tr>
      <w:tr>
        <w:tc>
          <w:tcPr>
            <w:tcW w:type="dxa" w:w="3230"/>
          </w:tcPr>
          <w:p>
            <w:r>
              <w:rPr>
                <w:rFonts w:ascii="Calibri" w:hAnsi="Calibri"/>
                <w:sz w:val="20"/>
              </w:rPr>
              <w:t>MNE</w:t>
            </w:r>
          </w:p>
        </w:tc>
        <w:tc>
          <w:tcPr>
            <w:tcW w:type="dxa" w:w="3230"/>
          </w:tcPr>
          <w:p>
            <w:r>
              <w:rPr>
                <w:rFonts w:ascii="Calibri" w:hAnsi="Calibri"/>
                <w:sz w:val="20"/>
              </w:rPr>
              <w:t>Montenegro</w:t>
            </w:r>
          </w:p>
        </w:tc>
        <w:tc>
          <w:tcPr>
            <w:tcW w:type="dxa" w:w="3230"/>
          </w:tcPr>
          <w:p>
            <w:r>
              <w:rPr>
                <w:rFonts w:ascii="Calibri" w:hAnsi="Calibri"/>
                <w:sz w:val="20"/>
              </w:rPr>
              <w:t>2017</w:t>
            </w:r>
          </w:p>
        </w:tc>
      </w:tr>
      <w:tr>
        <w:tc>
          <w:tcPr>
            <w:tcW w:type="dxa" w:w="3230"/>
          </w:tcPr>
          <w:p>
            <w:r>
              <w:rPr>
                <w:rFonts w:ascii="Calibri" w:hAnsi="Calibri"/>
                <w:sz w:val="20"/>
              </w:rPr>
              <w:t>MKD</w:t>
            </w:r>
          </w:p>
        </w:tc>
        <w:tc>
          <w:tcPr>
            <w:tcW w:type="dxa" w:w="3230"/>
          </w:tcPr>
          <w:p>
            <w:r>
              <w:rPr>
                <w:rFonts w:ascii="Calibri" w:hAnsi="Calibri"/>
                <w:sz w:val="20"/>
              </w:rPr>
              <w:t>North Macedonia</w:t>
            </w:r>
          </w:p>
        </w:tc>
        <w:tc>
          <w:tcPr>
            <w:tcW w:type="dxa" w:w="3230"/>
          </w:tcPr>
          <w:p>
            <w:r>
              <w:rPr>
                <w:rFonts w:ascii="Calibri" w:hAnsi="Calibri"/>
                <w:sz w:val="20"/>
              </w:rPr>
              <w:t>2020</w:t>
            </w:r>
          </w:p>
        </w:tc>
      </w:tr>
    </w:tbl>
    <w:p/>
    <w:p>
      <w:pPr>
        <w:spacing w:before="80" w:after="200"/>
        <w:ind w:left="340"/>
        <w:pBdr>
          <w:left w:val="single" w:sz="12" w:space="4" w:color="1F4E79"/>
        </w:pBdr>
      </w:pPr>
      <w:r>
        <w:rPr>
          <w:rFonts w:ascii="Calibri" w:hAnsi="Calibri"/>
          <w:color w:val="1F4E79"/>
          <w:sz w:val="21"/>
        </w:rPr>
        <w:t>None of these 14 transitioning states appear in the 33-case analytical sample. The rule preserves conceptual integrity for any expanded analysis.</w:t>
      </w:r>
    </w:p>
    <w:p>
      <w:pPr>
        <w:spacing w:before="160" w:after="40"/>
      </w:pPr>
      <w:r>
        <w:rPr>
          <w:rFonts w:ascii="Calibri" w:hAnsi="Calibri"/>
          <w:b/>
          <w:color w:val="007000"/>
          <w:sz w:val="20"/>
        </w:rPr>
        <w:t>NON-ALIGNED MOVEMENT — FORMALLY UNCOMMITTED GOVERNMENTS</w:t>
      </w:r>
    </w:p>
    <w:p>
      <w:pPr>
        <w:spacing w:before="0" w:after="120" w:line="300" w:lineRule="exact"/>
      </w:pPr>
      <w:r>
        <w:rPr>
          <w:rFonts w:ascii="Calibri" w:hAnsi="Calibri"/>
          <w:color w:val="000000"/>
          <w:sz w:val="22"/>
        </w:rPr>
        <w:t>Total: 135 countries (includes historical states YUG = Yugoslavia, BIH = Bosnia)</w:t>
        <w:br/>
        <w:br/>
        <w:t xml:space="preserve">  AFG (Afghanistan) | AGO (Angola) | ARE (UAE) | ARG (Argentina)</w:t>
        <w:br/>
        <w:t xml:space="preserve">  ATG (Antigua and Barbuda) | BDI (Burundi) | BEN (Benin) | BFA (Burkina Faso)</w:t>
        <w:br/>
        <w:t xml:space="preserve">  BGD (Bangladesh) | BHR (Bahrain) | BHS (Bahamas) | BIH (Bosnia and Herzegovina)</w:t>
        <w:br/>
        <w:t xml:space="preserve">  BLZ (Belize) | BOL (Bolivia) | BRA (Brazil) | BRB (Barbados)</w:t>
        <w:br/>
        <w:t xml:space="preserve">  BRN (Brunei) | BTN (Bhutan) | BWA (Botswana) | CAF (Central African Republic)</w:t>
        <w:br/>
        <w:t xml:space="preserve">  CHL (Chile) | CHN (China) | CMR (Cameroon) | COD (DR Congo)</w:t>
        <w:br/>
        <w:t xml:space="preserve">  COG (Congo) | COL (Colombia) | COM (Comoros) | CPV (Cape Verde)</w:t>
        <w:br/>
        <w:t xml:space="preserve">  CRI (Costa Rica) | CYP (Cyprus) | DJI (Djibouti) | DMA (Dominica)</w:t>
        <w:br/>
        <w:t xml:space="preserve">  DOM (Dominican Republic) | DZA (Algeria) | ECU (Ecuador) | EGY (Egypt)</w:t>
        <w:br/>
        <w:t xml:space="preserve">  ERI (Eritrea) | ETH (Ethiopia) | FJI (Fiji) | FSM (Micronesia)</w:t>
        <w:br/>
        <w:t xml:space="preserve">  GAB (Gabon) | GHA (Ghana) | GIN (Guinea) | GMB (Gambia)</w:t>
        <w:br/>
        <w:t xml:space="preserve">  GNB (Guinea-Bissau) | GNQ (Equatorial Guinea) | GRD (Grenada) | GTM (Guatemala)</w:t>
        <w:br/>
        <w:t xml:space="preserve">  GUY (Guyana) | HND (Honduras) | HTI (Haiti) | IDN (Indonesia)</w:t>
        <w:br/>
        <w:t xml:space="preserve">  IND (India) | IRN (Iran) | IRQ (Iraq) | JAM (Jamaica)</w:t>
        <w:br/>
        <w:t xml:space="preserve">  JOR (Jordan) | KEN (Kenya) | KHM (Cambodia) | KIR (Kiribati)</w:t>
        <w:br/>
        <w:t xml:space="preserve">  KNA (St. Kitts) | KOR (South Korea) | KWT (Kuwait) | LAO (Laos)</w:t>
        <w:br/>
        <w:t xml:space="preserve">  LBN (Lebanon) | LBR (Liberia) | LBY (Libya) | LCA (St. Lucia)</w:t>
        <w:br/>
        <w:t xml:space="preserve">  LKA (Sri Lanka) | LSO (Lesotho) | MAR (Morocco) | MDG (Madagascar)</w:t>
        <w:br/>
        <w:t xml:space="preserve">  MDV (Maldives) | MEX (Mexico) | MHL (Marshall Islands) | MLI (Mali)</w:t>
        <w:br/>
        <w:t xml:space="preserve">  MLT (Malta) | MMR (Myanmar) | MOZ (Mozambique) | MRT (Mauritania)</w:t>
        <w:br/>
        <w:t xml:space="preserve">  MUS (Mauritius) | MWI (Malawi) | MYS (Malaysia) | NAM (Namibia)</w:t>
        <w:br/>
        <w:t xml:space="preserve">  NER (Niger) | NGA (Nigeria) | NIC (Nicaragua) | NPL (Nepal)</w:t>
        <w:br/>
        <w:t xml:space="preserve">  NRU (Nauru) | OMN (Oman) | PAK (Pakistan) | PAN (Panama)</w:t>
        <w:br/>
        <w:t xml:space="preserve">  PER (Peru) | PHL (Philippines) | PLW (Palau) | PNG (Papua New Guinea)</w:t>
        <w:br/>
        <w:t xml:space="preserve">  PRY (Paraguay) | PSE (Palestine) | QAT (Qatar) | RWA (Rwanda)</w:t>
        <w:br/>
        <w:t xml:space="preserve">  SAU (Saudi Arabia) | SDN (Sudan) | SEN (Senegal) | SGP (Singapore)</w:t>
        <w:br/>
        <w:t xml:space="preserve">  SLB (Solomon Islands) | SLE (Sierra Leone) | SLV (El Salvador) | SOM (Somalia)</w:t>
        <w:br/>
        <w:t xml:space="preserve">  SRB (Serbia) | SSD (South Sudan) | STP (São Tomé and Príncipe) | SUR (Suriname)</w:t>
        <w:br/>
        <w:t xml:space="preserve">  SWZ (Eswatini) | SYC (Seychelles) | SYR (Syria) | TCD (Chad)</w:t>
        <w:br/>
        <w:t xml:space="preserve">  TGO (Togo) | THA (Thailand) | TLS (Timor-Leste) | TON (Tonga)</w:t>
        <w:br/>
        <w:t xml:space="preserve">  TTO (Trinidad and Tobago) | TUN (Tunisia) | TUV (Tuvalu) | TZA (Tanzania)</w:t>
        <w:br/>
        <w:t xml:space="preserve">  UGA (Uganda) | URY (Uruguay) | VCT (St. Vincent) | VEN (Venezuela)</w:t>
        <w:br/>
        <w:t xml:space="preserve">  VUT (Vanuatu) | WSM (Samoa) | YEM (Yemen) | YUG (Yugoslavia)</w:t>
        <w:br/>
        <w:t xml:space="preserve">  ZAF (South Africa) | ZMB (Zambia) | ZWE (Zimbabwe)</w:t>
      </w:r>
    </w:p>
    <w:p>
      <w:pPr>
        <w:spacing w:before="80" w:after="200"/>
        <w:ind w:left="340"/>
        <w:pBdr>
          <w:left w:val="single" w:sz="12" w:space="4" w:color="1F4E79"/>
        </w:pBdr>
      </w:pPr>
      <w:r>
        <w:rPr>
          <w:rFonts w:ascii="Calibri" w:hAnsi="Calibri"/>
          <w:color w:val="1F4E79"/>
          <w:sz w:val="21"/>
        </w:rPr>
        <w:t>In the 33-case sample: IRQ (1990, 1997), IDN (1992, 1999), CHN (1997), IRN (2011), SYR (2013), ZAF (1960), AZE (2020), SAU (2015), MMR (2017), ETH (2021), YUG (2001).</w:t>
        <w:br/>
        <w:t>Key structural feature: predominantly face allegations about exercise of domestic sovereign authority — human rights, internal conflicts, territorial claims — for which Article 2(7) non-interference and sovereignty norms provide the most directly applicable legal response.</w:t>
      </w:r>
    </w:p>
    <w:p>
      <w:pPr>
        <w:spacing w:before="160" w:after="40"/>
      </w:pPr>
      <w:r>
        <w:rPr>
          <w:rFonts w:ascii="Calibri" w:hAnsi="Calibri"/>
          <w:b/>
          <w:color w:val="C06000"/>
          <w:sz w:val="20"/>
        </w:rPr>
        <w:t>HOW THE CLASSIFICATION IS APPLIED IN THE CODE</w:t>
      </w:r>
    </w:p>
    <w:p>
      <w:pPr>
        <w:spacing w:before="0" w:after="120" w:line="300" w:lineRule="exact"/>
      </w:pPr>
      <w:r>
        <w:rPr>
          <w:rFonts w:ascii="Calibri" w:hAnsi="Calibri"/>
          <w:color w:val="000000"/>
          <w:sz w:val="22"/>
        </w:rPr>
        <w:t>The function resolve_group(iso3, year) in corpus_eda.py works as follows:</w:t>
        <w:br/>
        <w:br/>
        <w:t>1. Check if iso3 is in BLOC_TRANSITIONS. If yes:</w:t>
        <w:br/>
        <w:t xml:space="preserve">   — if year ≥ accession year → return "Western bloc"</w:t>
        <w:br/>
        <w:t xml:space="preserve">   — if year &lt; accession year → return "Soviet/Eastern bloc"</w:t>
        <w:br/>
        <w:br/>
        <w:t>2. Otherwise, look up iso3 in STATE_GROUPS and return the matching bloc.</w:t>
        <w:br/>
        <w:br/>
        <w:t>3. If not found in any group → return None (unclassified in corpus-level analysis).</w:t>
        <w:br/>
        <w:br/>
        <w:t>Countries not found in any of the three groups (and not in BLOC_TRANSITIONS) are excluded from bloc-level statistical comparisons but may appear in the full corpus signal analysis.</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