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2711" w:rsidRPr="005C774C" w:rsidRDefault="00E84EB4"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w:pict>
          <v:shapetype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DB5BA2" w:rsidRPr="001A1039" w:rsidRDefault="00DB5BA2" w:rsidP="001A1039">
                  <w:pPr>
                    <w:spacing w:line="360" w:lineRule="auto"/>
                    <w:jc w:val="center"/>
                  </w:pPr>
                  <w:r>
                    <w:rPr>
                      <w:b/>
                      <w:color w:val="000000"/>
                      <w:sz w:val="32"/>
                      <w:szCs w:val="32"/>
                    </w:rPr>
                    <w:t>IntelliGrade: An End-to-End Outcome-Based Examination Management and Intelligent Script Evaluation Ecosystem for Higher Education Institutions</w:t>
                  </w:r>
                </w:p>
              </w:txbxContent>
            </v:textbox>
            <w10:wrap anchorx="margin" anchory="margin"/>
          </v:shape>
        </w:pict>
      </w:r>
      <w:bookmarkEnd w:id="0"/>
      <w:bookmarkEnd w:id="1"/>
      <w:bookmarkEnd w:id="2"/>
      <w:bookmarkEnd w:id="3"/>
      <w:bookmarkEnd w:id="4"/>
    </w:p>
    <w:p w:rsidR="0063440A" w:rsidRPr="0063440A" w:rsidRDefault="00120A5A" w:rsidP="00D26C4C">
      <w:pPr>
        <w:pStyle w:val="BodyText"/>
        <w:ind w:firstLine="0"/>
        <w:jc w:val="center"/>
        <w:rPr>
          <w:sz w:val="28"/>
          <w:szCs w:val="28"/>
        </w:rPr>
      </w:pPr>
      <w:r>
        <w:t>Md. Taher Bin Omar Hijbullah</w:t>
      </w:r>
    </w:p>
    <w:p w:rsidR="0063440A" w:rsidRDefault="0063440A" w:rsidP="00D26C4C">
      <w:pPr>
        <w:pStyle w:val="BodyText"/>
        <w:ind w:firstLine="0"/>
        <w:jc w:val="center"/>
        <w:rPr>
          <w:sz w:val="28"/>
          <w:szCs w:val="28"/>
        </w:rPr>
      </w:pPr>
      <w:r>
        <w:t>ID# 22303142</w:t>
      </w:r>
    </w:p>
    <w:p w:rsidR="0063440A" w:rsidRDefault="0063440A" w:rsidP="0063440A">
      <w:pPr>
        <w:pStyle w:val="BodyText"/>
        <w:ind w:firstLine="0"/>
        <w:rPr>
          <w:sz w:val="28"/>
          <w:szCs w:val="28"/>
        </w:rPr>
      </w:pPr>
    </w:p>
    <w:p w:rsidR="0063440A" w:rsidRPr="005C774C" w:rsidRDefault="0063440A" w:rsidP="0063440A">
      <w:pPr>
        <w:pStyle w:val="BodyText"/>
        <w:ind w:firstLine="0"/>
      </w:pPr>
    </w:p>
    <w:p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rsidR="00422711" w:rsidRPr="005C774C" w:rsidRDefault="00814864" w:rsidP="00720AB1">
      <w:pPr>
        <w:pStyle w:val="CenteredText"/>
      </w:pPr>
      <w:r w:rsidRPr="005C774C">
        <w:t>for the Award of Bachelor of Computer Science and Engineering</w:t>
      </w:r>
      <w:r w:rsidR="00B65BBF" w:rsidRPr="005C774C">
        <w:t xml:space="preserve"> (BCSE)</w:t>
      </w:r>
    </w:p>
    <w:p w:rsidR="0024797D" w:rsidRPr="005C774C" w:rsidRDefault="0024797D" w:rsidP="00814864">
      <w:pPr>
        <w:pStyle w:val="Dept-College-Unv"/>
        <w:spacing w:before="960" w:line="276" w:lineRule="auto"/>
      </w:pPr>
      <w:r w:rsidRPr="005C774C">
        <w:rPr>
          <w:noProof/>
        </w:rPr>
        <w:drawing>
          <wp:inline distT="0" distB="0" distL="0" distR="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5C774C" w:rsidRDefault="00814864" w:rsidP="00DD035F">
      <w:pPr>
        <w:pStyle w:val="Dept-College-Unv"/>
        <w:spacing w:before="480"/>
      </w:pPr>
      <w:r w:rsidRPr="005C774C">
        <w:t>Department of Computer Science and Engineering</w:t>
      </w:r>
    </w:p>
    <w:p w:rsidR="00814864" w:rsidRPr="005C774C" w:rsidRDefault="00814864" w:rsidP="00814864">
      <w:pPr>
        <w:pStyle w:val="Dept-College-Unv"/>
        <w:spacing w:line="276" w:lineRule="auto"/>
      </w:pPr>
      <w:r w:rsidRPr="005C774C">
        <w:t>College of Engineering and Technology</w:t>
      </w:r>
    </w:p>
    <w:p w:rsidR="00814864" w:rsidRPr="005C774C" w:rsidRDefault="00814864" w:rsidP="00814864">
      <w:pPr>
        <w:pStyle w:val="Dept-College-Unv"/>
        <w:spacing w:line="276" w:lineRule="auto"/>
      </w:pPr>
      <w:r w:rsidRPr="005C774C">
        <w:t>IUBAT</w:t>
      </w:r>
      <w:r w:rsidR="00E373BE">
        <w:t>—</w:t>
      </w:r>
      <w:r w:rsidRPr="005C774C">
        <w:t>International University of Business Agriculture and Technology</w:t>
      </w:r>
    </w:p>
    <w:p w:rsidR="00422711" w:rsidRPr="005C774C" w:rsidRDefault="00E84EB4"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127752">
            <w:t xml:space="preserve"> 2025</w:t>
          </w:r>
        </w:sdtContent>
      </w:sdt>
    </w:p>
    <w:p w:rsidR="00422711" w:rsidRPr="005C774C" w:rsidRDefault="00422711" w:rsidP="006F50B0">
      <w:pPr>
        <w:pStyle w:val="Dept-College-Unv"/>
        <w:spacing w:before="960"/>
        <w:jc w:val="left"/>
        <w:sectPr w:rsidR="00422711" w:rsidRPr="005C774C" w:rsidSect="00DB681C">
          <w:footerReference w:type="default" r:id="rId10"/>
          <w:pgSz w:w="12240" w:h="15840"/>
          <w:pgMar w:top="1440" w:right="1440" w:bottom="1440" w:left="1800" w:header="720" w:footer="720" w:gutter="0"/>
          <w:pgNumType w:start="1"/>
          <w:cols w:space="720"/>
          <w:titlePg/>
          <w:docGrid w:linePitch="360"/>
        </w:sectPr>
      </w:pPr>
    </w:p>
    <w:p w:rsidR="0025522D" w:rsidRPr="001A1039" w:rsidRDefault="001A1039" w:rsidP="0063440A">
      <w:pPr>
        <w:jc w:val="center"/>
        <w:rPr>
          <w:sz w:val="36"/>
          <w:szCs w:val="36"/>
        </w:rPr>
      </w:pPr>
      <w:r>
        <w:t>IntelliGrade: An End-to-End Outcome-Based Examination Management and Intelligent Script Evaluation Ecosystem for Higher Education Institutions</w:t>
      </w:r>
    </w:p>
    <w:p w:rsidR="0025522D" w:rsidRPr="005C774C" w:rsidRDefault="001A1039" w:rsidP="0025522D">
      <w:pPr>
        <w:spacing w:after="0" w:line="276" w:lineRule="auto"/>
        <w:jc w:val="center"/>
        <w:rPr>
          <w:sz w:val="28"/>
          <w:szCs w:val="28"/>
        </w:rPr>
      </w:pPr>
      <w:r>
        <w:t>Md. Taher Bin Omar Hijbullah</w:t>
      </w:r>
    </w:p>
    <w:p w:rsidR="0025522D" w:rsidRPr="005C774C" w:rsidRDefault="0025522D" w:rsidP="0025522D">
      <w:pPr>
        <w:spacing w:after="0" w:line="276" w:lineRule="auto"/>
      </w:pPr>
    </w:p>
    <w:p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rsidR="0025522D" w:rsidRPr="005C774C" w:rsidRDefault="0063440A" w:rsidP="0025522D">
      <w:pPr>
        <w:spacing w:after="120" w:line="276" w:lineRule="auto"/>
        <w:jc w:val="center"/>
      </w:pPr>
      <w:r>
        <w:t>The practicum</w:t>
      </w:r>
      <w:r w:rsidR="0025522D" w:rsidRPr="005C774C">
        <w:t xml:space="preserve"> has been examined and approved,</w:t>
      </w:r>
    </w:p>
    <w:p w:rsidR="0025522D" w:rsidRPr="005C774C" w:rsidRDefault="0025522D" w:rsidP="0025522D">
      <w:pPr>
        <w:spacing w:after="0" w:line="276" w:lineRule="auto"/>
      </w:pPr>
    </w:p>
    <w:p w:rsidR="0025522D" w:rsidRPr="007C7C71" w:rsidRDefault="0025522D" w:rsidP="0025522D">
      <w:pPr>
        <w:spacing w:after="0" w:line="276" w:lineRule="auto"/>
        <w:rPr>
          <w:sz w:val="16"/>
          <w:szCs w:val="16"/>
        </w:rPr>
      </w:pPr>
    </w:p>
    <w:p w:rsidR="00927FB9" w:rsidRDefault="00927FB9" w:rsidP="0025522D">
      <w:pPr>
        <w:spacing w:after="0" w:line="276" w:lineRule="auto"/>
      </w:pPr>
    </w:p>
    <w:p w:rsidR="0025522D" w:rsidRPr="005C774C" w:rsidRDefault="0025522D" w:rsidP="0025522D">
      <w:pPr>
        <w:spacing w:after="0" w:line="276" w:lineRule="auto"/>
      </w:pPr>
    </w:p>
    <w:p w:rsidR="0025522D" w:rsidRPr="005C774C" w:rsidRDefault="0025522D" w:rsidP="0025522D">
      <w:pPr>
        <w:spacing w:after="0" w:line="276" w:lineRule="auto"/>
        <w:jc w:val="center"/>
      </w:pPr>
      <w:r w:rsidRPr="005C774C">
        <w:t>_____________________________</w:t>
      </w:r>
    </w:p>
    <w:p w:rsidR="0025522D" w:rsidRPr="005C774C" w:rsidRDefault="0076033E" w:rsidP="0071118B">
      <w:pPr>
        <w:spacing w:after="0" w:line="276" w:lineRule="auto"/>
        <w:jc w:val="center"/>
      </w:pPr>
      <w:r>
        <w:t>Prof. Dr. Utpal Kanti Das</w:t>
      </w:r>
    </w:p>
    <w:p w:rsidR="0025522D" w:rsidRPr="005C774C" w:rsidRDefault="0025522D" w:rsidP="0071118B">
      <w:pPr>
        <w:spacing w:after="0" w:line="276" w:lineRule="auto"/>
        <w:jc w:val="center"/>
      </w:pPr>
      <w:r>
        <w:t>Chairman</w:t>
      </w:r>
    </w:p>
    <w:p w:rsidR="0025522D" w:rsidRPr="005C774C" w:rsidRDefault="0025522D" w:rsidP="0025522D">
      <w:pPr>
        <w:spacing w:after="0" w:line="276" w:lineRule="auto"/>
        <w:ind w:left="2160" w:firstLine="720"/>
      </w:pPr>
    </w:p>
    <w:p w:rsidR="0025522D" w:rsidRDefault="0025522D" w:rsidP="0025522D">
      <w:pPr>
        <w:spacing w:after="0" w:line="276" w:lineRule="auto"/>
      </w:pPr>
    </w:p>
    <w:p w:rsidR="00927FB9" w:rsidRPr="005C774C" w:rsidRDefault="00927FB9" w:rsidP="0025522D">
      <w:pPr>
        <w:spacing w:after="0" w:line="276" w:lineRule="auto"/>
      </w:pPr>
    </w:p>
    <w:p w:rsidR="0025522D" w:rsidRPr="005C774C" w:rsidRDefault="0025522D" w:rsidP="0025522D">
      <w:pPr>
        <w:spacing w:after="0" w:line="276" w:lineRule="auto"/>
        <w:jc w:val="center"/>
      </w:pPr>
      <w:r w:rsidRPr="005C774C">
        <w:t>_____________________________</w:t>
      </w:r>
    </w:p>
    <w:p w:rsidR="0025522D" w:rsidRPr="0076033E" w:rsidRDefault="009C1BFD" w:rsidP="0025522D">
      <w:pPr>
        <w:spacing w:after="0" w:line="276" w:lineRule="auto"/>
        <w:jc w:val="center"/>
      </w:pPr>
      <w:r>
        <w:t>Shahinur Alam</w:t>
      </w:r>
    </w:p>
    <w:p w:rsidR="0025522D" w:rsidRPr="005C774C" w:rsidRDefault="001A1039" w:rsidP="0025522D">
      <w:pPr>
        <w:spacing w:after="0" w:line="276" w:lineRule="auto"/>
        <w:jc w:val="center"/>
      </w:pPr>
      <w:r>
        <w:t>Co-supervisor, Coordinator and Assistant Professor</w:t>
      </w:r>
    </w:p>
    <w:p w:rsidR="0025522D" w:rsidRPr="005C774C" w:rsidRDefault="0025522D" w:rsidP="0025522D">
      <w:pPr>
        <w:spacing w:after="0" w:line="276" w:lineRule="auto"/>
        <w:ind w:left="1440" w:firstLine="720"/>
        <w:jc w:val="center"/>
      </w:pPr>
    </w:p>
    <w:p w:rsidR="0025522D" w:rsidRPr="005C774C" w:rsidRDefault="0025522D" w:rsidP="0025522D">
      <w:pPr>
        <w:spacing w:after="0" w:line="276" w:lineRule="auto"/>
        <w:ind w:left="1440" w:firstLine="720"/>
        <w:jc w:val="center"/>
      </w:pPr>
    </w:p>
    <w:p w:rsidR="00927FB9" w:rsidRPr="005C774C" w:rsidRDefault="00927FB9" w:rsidP="0025522D">
      <w:pPr>
        <w:spacing w:after="0" w:line="276" w:lineRule="auto"/>
      </w:pPr>
    </w:p>
    <w:p w:rsidR="0025522D" w:rsidRPr="005C774C" w:rsidRDefault="0025522D" w:rsidP="0025522D">
      <w:pPr>
        <w:spacing w:after="0" w:line="276" w:lineRule="auto"/>
        <w:jc w:val="center"/>
      </w:pPr>
      <w:r w:rsidRPr="005C774C">
        <w:t>_____________________________</w:t>
      </w:r>
    </w:p>
    <w:p w:rsidR="00B1304C" w:rsidRPr="0076595A" w:rsidRDefault="00B1304C" w:rsidP="00B1304C">
      <w:pPr>
        <w:spacing w:after="0" w:line="276" w:lineRule="auto"/>
        <w:jc w:val="center"/>
      </w:pPr>
      <w:r>
        <w:t>Supervisor Name</w:t>
      </w:r>
    </w:p>
    <w:p w:rsidR="0025522D" w:rsidRDefault="00B1304C" w:rsidP="00B1304C">
      <w:pPr>
        <w:spacing w:after="0" w:line="276" w:lineRule="auto"/>
        <w:jc w:val="center"/>
      </w:pPr>
      <w:r>
        <w:t>Supervisor and Assistant Professor, Department of Computer Science and Engineering, IUBAT</w:t>
      </w:r>
    </w:p>
    <w:p w:rsidR="0025522D" w:rsidRDefault="0025522D" w:rsidP="0025522D">
      <w:pPr>
        <w:spacing w:after="0" w:line="276" w:lineRule="auto"/>
        <w:jc w:val="center"/>
      </w:pPr>
    </w:p>
    <w:p w:rsidR="008916F4" w:rsidRDefault="008916F4" w:rsidP="0025522D">
      <w:pPr>
        <w:spacing w:after="0" w:line="276" w:lineRule="auto"/>
        <w:jc w:val="center"/>
      </w:pPr>
    </w:p>
    <w:p w:rsidR="0025522D" w:rsidRDefault="0025522D" w:rsidP="0025522D">
      <w:pPr>
        <w:spacing w:after="0" w:line="276" w:lineRule="auto"/>
        <w:jc w:val="center"/>
      </w:pPr>
    </w:p>
    <w:p w:rsidR="008916F4" w:rsidRDefault="008916F4" w:rsidP="0025522D">
      <w:pPr>
        <w:spacing w:after="0" w:line="276" w:lineRule="auto"/>
        <w:jc w:val="center"/>
      </w:pPr>
    </w:p>
    <w:p w:rsidR="0025522D" w:rsidRPr="00B807A5" w:rsidRDefault="0025522D" w:rsidP="0025522D">
      <w:pPr>
        <w:pStyle w:val="Dept-College-Unv"/>
        <w:spacing w:before="480"/>
      </w:pPr>
      <w:r w:rsidRPr="00B807A5">
        <w:t>Department of Computer Science and Engineering</w:t>
      </w:r>
    </w:p>
    <w:p w:rsidR="0025522D" w:rsidRPr="00B807A5" w:rsidRDefault="0025522D" w:rsidP="0025522D">
      <w:pPr>
        <w:pStyle w:val="Dept-College-Unv"/>
      </w:pPr>
      <w:r w:rsidRPr="00B807A5">
        <w:t>College of Engineering and Technology</w:t>
      </w:r>
    </w:p>
    <w:p w:rsidR="0025522D" w:rsidRDefault="0025522D" w:rsidP="0025522D">
      <w:pPr>
        <w:pStyle w:val="Dept-College-Unv"/>
      </w:pPr>
      <w:r w:rsidRPr="00B807A5">
        <w:t>IUBAT</w:t>
      </w:r>
      <w:r w:rsidR="00E373BE">
        <w:t>—</w:t>
      </w:r>
      <w:r w:rsidRPr="00B807A5">
        <w:t>International University of Business Agriculture and Technology</w:t>
      </w:r>
    </w:p>
    <w:p w:rsidR="00B65BBF" w:rsidRPr="005C774C" w:rsidRDefault="00E84EB4"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127752">
            <w:t xml:space="preserve"> 2025</w:t>
          </w:r>
        </w:sdtContent>
      </w:sdt>
    </w:p>
    <w:bookmarkEnd w:id="5"/>
    <w:p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rsidR="00422711" w:rsidRPr="005C774C" w:rsidRDefault="00EB31B3" w:rsidP="00323BB5">
      <w:pPr>
        <w:pStyle w:val="Heading2"/>
      </w:pPr>
      <w:bookmarkStart w:id="6" w:name="_Toc195098813"/>
      <w:bookmarkStart w:id="7" w:name="_Toc196334845"/>
      <w:r w:rsidRPr="005C774C">
        <w:rPr>
          <w:rFonts w:cs="Times New Roman"/>
          <w:b/>
          <w:szCs w:val="24"/>
        </w:rPr>
        <w:lastRenderedPageBreak/>
        <w:t>Letter of Transmittal</w:t>
      </w:r>
      <w:bookmarkEnd w:id="6"/>
      <w:bookmarkEnd w:id="7"/>
    </w:p>
    <w:p w:rsidR="00DF3754" w:rsidRPr="005C774C" w:rsidRDefault="00E84EB4" w:rsidP="00DF3754">
      <w:pPr>
        <w:spacing w:after="0" w:line="360" w:lineRule="auto"/>
      </w:pPr>
      <w:sdt>
        <w:sdtPr>
          <w:id w:val="-567719924"/>
          <w:placeholder>
            <w:docPart w:val="DefaultPlaceholder_-1854013438"/>
          </w:placeholder>
          <w:date w:fullDate="2025-05-18T00:00:00Z">
            <w:dateFormat w:val="d MMMM yyyy"/>
            <w:lid w:val="en-US"/>
            <w:storeMappedDataAs w:val="dateTime"/>
            <w:calendar w:val="gregorian"/>
          </w:date>
        </w:sdtPr>
        <w:sdtContent>
          <w:r w:rsidR="008700F7">
            <w:t>18 May 2025</w:t>
          </w:r>
        </w:sdtContent>
      </w:sdt>
    </w:p>
    <w:p w:rsidR="00DF3754" w:rsidRPr="005C774C" w:rsidRDefault="00DF3754" w:rsidP="00DF3754">
      <w:pPr>
        <w:spacing w:after="0" w:line="360" w:lineRule="auto"/>
      </w:pPr>
      <w:r w:rsidRPr="005C774C">
        <w:t>The Chair</w:t>
      </w:r>
    </w:p>
    <w:p w:rsidR="00DF3754" w:rsidRPr="005C774C" w:rsidRDefault="0063440A" w:rsidP="00DF3754">
      <w:pPr>
        <w:spacing w:after="0" w:line="360" w:lineRule="auto"/>
      </w:pPr>
      <w:r>
        <w:t>Practicum</w:t>
      </w:r>
      <w:r w:rsidR="00DF3754" w:rsidRPr="005C774C">
        <w:t xml:space="preserve"> Defense Committee </w:t>
      </w:r>
    </w:p>
    <w:p w:rsidR="00DF3754" w:rsidRPr="005C774C" w:rsidRDefault="00DF3754" w:rsidP="00DF3754">
      <w:pPr>
        <w:spacing w:after="0" w:line="360" w:lineRule="auto"/>
      </w:pPr>
      <w:r w:rsidRPr="005C774C">
        <w:t xml:space="preserve">Department of Computer Science and Engineering </w:t>
      </w:r>
    </w:p>
    <w:p w:rsidR="00DF3754" w:rsidRPr="005C774C" w:rsidRDefault="008D271D" w:rsidP="00DF3754">
      <w:pPr>
        <w:spacing w:after="0" w:line="360" w:lineRule="auto"/>
      </w:pPr>
      <w:r>
        <w:t>IUBAT</w:t>
      </w:r>
      <w:r w:rsidR="00E373BE">
        <w:t>—</w:t>
      </w:r>
      <w:r w:rsidR="00DF3754" w:rsidRPr="005C774C">
        <w:t xml:space="preserve">International University of Business Agriculture and Technology </w:t>
      </w:r>
    </w:p>
    <w:p w:rsidR="00DF3754" w:rsidRPr="005C774C" w:rsidRDefault="00DF3754" w:rsidP="00DF3754">
      <w:pPr>
        <w:spacing w:after="0" w:line="360" w:lineRule="auto"/>
      </w:pPr>
      <w:r w:rsidRPr="005C774C">
        <w:t xml:space="preserve">4 Embankment Drive Road, Sector 10, Uttara Model Town </w:t>
      </w:r>
    </w:p>
    <w:p w:rsidR="00DF3754" w:rsidRPr="005C774C" w:rsidRDefault="00DF3754" w:rsidP="00DF3754">
      <w:pPr>
        <w:spacing w:after="0" w:line="360" w:lineRule="auto"/>
      </w:pPr>
      <w:r w:rsidRPr="005C774C">
        <w:t>Dhaka 1230, Bangladesh</w:t>
      </w:r>
      <w:r w:rsidR="00B1304C">
        <w:t>.</w:t>
      </w:r>
      <w:r w:rsidRPr="005C774C">
        <w:t xml:space="preserve"> </w:t>
      </w:r>
    </w:p>
    <w:p w:rsidR="00DF3754" w:rsidRPr="005C774C" w:rsidRDefault="00DF3754" w:rsidP="00DF3754">
      <w:pPr>
        <w:spacing w:after="0" w:line="360" w:lineRule="auto"/>
      </w:pPr>
    </w:p>
    <w:p w:rsidR="00DF3754" w:rsidRPr="005C774C" w:rsidRDefault="00DF3754" w:rsidP="00DF3754">
      <w:pPr>
        <w:spacing w:after="0" w:line="360" w:lineRule="auto"/>
      </w:pPr>
      <w:r w:rsidRPr="005C774C">
        <w:rPr>
          <w:b/>
        </w:rPr>
        <w:t xml:space="preserve">Subject: </w:t>
      </w:r>
      <w:r w:rsidRPr="005C774C">
        <w:rPr>
          <w:u w:val="single"/>
        </w:rPr>
        <w:t>Letter of Transmittal.</w:t>
      </w:r>
    </w:p>
    <w:p w:rsidR="00DF3754" w:rsidRPr="005C774C" w:rsidRDefault="00DF3754" w:rsidP="00DF3754">
      <w:pPr>
        <w:spacing w:after="0" w:line="360" w:lineRule="auto"/>
      </w:pPr>
    </w:p>
    <w:p w:rsidR="00DF3754" w:rsidRPr="005C774C" w:rsidRDefault="00DF3754" w:rsidP="00DF3754">
      <w:pPr>
        <w:spacing w:after="120" w:line="360" w:lineRule="auto"/>
      </w:pPr>
      <w:r w:rsidRPr="005C774C">
        <w:t>Dear Sir,</w:t>
      </w:r>
    </w:p>
    <w:p w:rsidR="0063440A" w:rsidRPr="0049370A" w:rsidRDefault="00B1304C" w:rsidP="001A1039">
      <w:pPr>
        <w:pStyle w:val="BodyText"/>
      </w:pPr>
      <w:r>
        <w:t>I am honored to submit herewith my practicum report titled "IntelliGrade: An End-to-End Outcome-Based Examination Management and Intelligent Script Evaluation Ecosystem for Higher Education Institutions", prepared in partial fulfillment of the requirements for the degree of Bachelor of Computer Science and Engineering (BCSE) at IUBAT—International University of Business Agriculture and Technology.</w:t>
      </w:r>
    </w:p>
    <w:p w:rsidR="00DF3754" w:rsidRPr="005C774C" w:rsidRDefault="00B1304C" w:rsidP="00B1304C">
      <w:pPr>
        <w:pStyle w:val="BodyText"/>
      </w:pPr>
      <w:r>
        <w:t>This report documents the end-to-end design, implementation, and empirical verification of IntelliGrade, a comprehensive AI-augmented examination governance and script evaluation platform tailored to BAETE accreditation and university standards. The system unifies administrative routine scheduling, 23-taxonomy OBE question blueprints, high-resolution 300 DPI script preprocessing, hybrid OCR (PyMuPDF, PyTesseract, EasyOCR), dual evaluation workbenches (AI Wizard v3.0 and Fast-Track Manual), split-screen teacher verification, and real-time 8-sheet Course OBE Tabulation. I sincerely hope that this report fulfills your academic standards, and I look forward to defending my practicum before the committee.</w:t>
      </w:r>
    </w:p>
    <w:p w:rsidR="001A1039" w:rsidRDefault="001A1039" w:rsidP="00DF3754">
      <w:pPr>
        <w:spacing w:after="120" w:line="360" w:lineRule="auto"/>
      </w:pPr>
    </w:p>
    <w:p w:rsidR="00B1304C" w:rsidRDefault="00B1304C" w:rsidP="00DF3754">
      <w:pPr>
        <w:spacing w:after="120" w:line="360" w:lineRule="auto"/>
      </w:pPr>
    </w:p>
    <w:p w:rsidR="00B1304C" w:rsidRDefault="00B1304C" w:rsidP="00DF3754">
      <w:pPr>
        <w:spacing w:after="120" w:line="360" w:lineRule="auto"/>
      </w:pPr>
    </w:p>
    <w:p w:rsidR="00B1304C" w:rsidRDefault="00B1304C" w:rsidP="00DF3754">
      <w:pPr>
        <w:spacing w:after="120" w:line="360" w:lineRule="auto"/>
      </w:pPr>
    </w:p>
    <w:p w:rsidR="00B1304C" w:rsidRDefault="00B1304C" w:rsidP="00DF3754">
      <w:pPr>
        <w:spacing w:after="120" w:line="360" w:lineRule="auto"/>
      </w:pPr>
    </w:p>
    <w:p w:rsidR="00120A5A" w:rsidRDefault="00120A5A" w:rsidP="00DF3754">
      <w:pPr>
        <w:spacing w:after="120" w:line="360" w:lineRule="auto"/>
      </w:pPr>
    </w:p>
    <w:p w:rsidR="00DF3754" w:rsidRPr="005C774C" w:rsidRDefault="00DF3754" w:rsidP="00DF3754">
      <w:pPr>
        <w:spacing w:after="120" w:line="360" w:lineRule="auto"/>
      </w:pPr>
      <w:r w:rsidRPr="005C774C">
        <w:t>Yours sincerely,</w:t>
      </w:r>
    </w:p>
    <w:p w:rsidR="00DF3754" w:rsidRPr="005C774C" w:rsidRDefault="00DF3754" w:rsidP="00DF3754">
      <w:pPr>
        <w:spacing w:before="360" w:after="0"/>
      </w:pPr>
      <w:r w:rsidRPr="005C774C">
        <w:t>_____________</w:t>
      </w:r>
      <w:r w:rsidR="004F7725">
        <w:tab/>
      </w:r>
      <w:r w:rsidR="004F7725">
        <w:tab/>
      </w:r>
    </w:p>
    <w:p w:rsidR="00AA75BD" w:rsidRPr="00AA75BD" w:rsidRDefault="00120A5A" w:rsidP="00E373BE">
      <w:pPr>
        <w:spacing w:after="0" w:line="360" w:lineRule="auto"/>
      </w:pPr>
      <w:r>
        <w:t>Md. Taher Bin Omar Hijbullah</w:t>
      </w:r>
    </w:p>
    <w:p w:rsidR="00ED7696" w:rsidRDefault="00120A5A" w:rsidP="00E373BE">
      <w:pPr>
        <w:spacing w:after="0" w:line="360" w:lineRule="auto"/>
        <w:sectPr w:rsidR="00ED7696" w:rsidSect="00DB681C">
          <w:footerReference w:type="default" r:id="rId11"/>
          <w:headerReference w:type="first" r:id="rId12"/>
          <w:pgSz w:w="12240" w:h="15840"/>
          <w:pgMar w:top="1440" w:right="1440" w:bottom="1440" w:left="1800" w:header="720" w:footer="720" w:gutter="0"/>
          <w:pgNumType w:fmt="lowerRoman"/>
          <w:cols w:space="720"/>
          <w:docGrid w:linePitch="360"/>
        </w:sectPr>
      </w:pPr>
      <w:r>
        <w:t>ID# 22303142</w:t>
      </w:r>
    </w:p>
    <w:p w:rsidR="00ED7696" w:rsidRDefault="00ED7696" w:rsidP="00ED7696">
      <w:pPr>
        <w:pStyle w:val="Heading2"/>
        <w:rPr>
          <w:rFonts w:cs="Times New Roman"/>
          <w:b/>
          <w:szCs w:val="24"/>
        </w:rPr>
      </w:pPr>
      <w:bookmarkStart w:id="8" w:name="_Toc195098814"/>
      <w:bookmarkStart w:id="9" w:name="_Toc196334846"/>
      <w:r>
        <w:rPr>
          <w:rFonts w:cs="Times New Roman"/>
          <w:b/>
          <w:szCs w:val="24"/>
        </w:rPr>
        <w:lastRenderedPageBreak/>
        <w:t>Organization</w:t>
      </w:r>
      <w:r w:rsidR="006166F1">
        <w:rPr>
          <w:rFonts w:cs="Times New Roman"/>
          <w:b/>
          <w:szCs w:val="24"/>
        </w:rPr>
        <w:t>’s</w:t>
      </w:r>
      <w:r>
        <w:rPr>
          <w:rFonts w:cs="Times New Roman"/>
          <w:b/>
          <w:szCs w:val="24"/>
        </w:rPr>
        <w:t xml:space="preserve"> Certificate</w:t>
      </w:r>
      <w:bookmarkEnd w:id="8"/>
      <w:bookmarkEnd w:id="9"/>
    </w:p>
    <w:p w:rsidR="00ED7696" w:rsidRDefault="00ED7696" w:rsidP="00ED7696">
      <w:pPr>
        <w:pStyle w:val="Heading2"/>
        <w:rPr>
          <w:rFonts w:cs="Times New Roman"/>
          <w:b/>
          <w:szCs w:val="24"/>
        </w:rPr>
      </w:pPr>
    </w:p>
    <w:p w:rsidR="00927C9E" w:rsidRDefault="00927C9E" w:rsidP="00927C9E">
      <w:pPr>
        <w:pStyle w:val="BodyText"/>
      </w:pPr>
    </w:p>
    <w:p w:rsidR="00927C9E" w:rsidRDefault="00927C9E" w:rsidP="00927C9E">
      <w:pPr>
        <w:pStyle w:val="BodyText"/>
      </w:pPr>
    </w:p>
    <w:p w:rsidR="00927C9E" w:rsidRDefault="00927C9E" w:rsidP="00927C9E">
      <w:pPr>
        <w:pStyle w:val="BodyText"/>
        <w:ind w:firstLine="0"/>
        <w:jc w:val="center"/>
      </w:pPr>
      <w:r>
        <w:t>[ORGANIZATION CERTIFICATE ATTACHMENT PLACEHOLDER]</w:t>
        <w:br/>
        <w:br/>
        <w:t>This is to certify that Md. Taher Bin Omar Hijbullah, Student ID: 22303142, a candidate for the degree of Bachelor of Computer Science and Engineering (BCSE) from the Department of Computer Science and Engineering, College of Engineering and Technology, IUBAT—International University of Business Agriculture and Technology, has successfully completed his software engineering practicum project titled "IntelliGrade: An End-to-End Outcome-Based Examination Management and Intelligent Script Evaluation Ecosystem for Higher Education Institutions". During his practicum tenure, he demonstrated exceptional software engineering competence, architectural innovation, and dedication in designing, implementing, and validating the complete web-based examination management and AI evaluation platform.</w:t>
      </w:r>
    </w:p>
    <w:p w:rsidR="00927C9E" w:rsidRDefault="00927C9E" w:rsidP="00927C9E">
      <w:pPr>
        <w:pStyle w:val="BodyText"/>
        <w:ind w:firstLine="0"/>
      </w:pPr>
    </w:p>
    <w:p w:rsidR="00927C9E" w:rsidRPr="00927C9E" w:rsidRDefault="00927C9E" w:rsidP="00927C9E">
      <w:pPr>
        <w:pStyle w:val="BodyText"/>
        <w:ind w:firstLine="0"/>
        <w:sectPr w:rsidR="00927C9E" w:rsidRPr="00927C9E" w:rsidSect="00DB681C">
          <w:headerReference w:type="first" r:id="rId13"/>
          <w:pgSz w:w="12240" w:h="15840"/>
          <w:pgMar w:top="1440" w:right="1440" w:bottom="1440" w:left="1800" w:header="720" w:footer="720" w:gutter="0"/>
          <w:pgNumType w:fmt="lowerRoman"/>
          <w:cols w:space="720"/>
          <w:docGrid w:linePitch="360"/>
        </w:sectPr>
      </w:pPr>
    </w:p>
    <w:p w:rsidR="00422711" w:rsidRPr="005C774C" w:rsidRDefault="00EB31B3" w:rsidP="00422711">
      <w:pPr>
        <w:pStyle w:val="Heading2"/>
      </w:pPr>
      <w:bookmarkStart w:id="10" w:name="_Toc195098815"/>
      <w:bookmarkStart w:id="11" w:name="_Toc196334847"/>
      <w:r w:rsidRPr="005C774C">
        <w:rPr>
          <w:rFonts w:cs="Times New Roman"/>
          <w:b/>
          <w:bCs/>
          <w:szCs w:val="44"/>
        </w:rPr>
        <w:lastRenderedPageBreak/>
        <w:t>Student’s Declaration</w:t>
      </w:r>
      <w:bookmarkEnd w:id="10"/>
      <w:bookmarkEnd w:id="11"/>
    </w:p>
    <w:p w:rsidR="009C2EE8" w:rsidRPr="005C774C" w:rsidRDefault="00120A5A" w:rsidP="00BE5443">
      <w:pPr>
        <w:pStyle w:val="BodyText"/>
        <w:rPr>
          <w:b/>
          <w:bCs/>
          <w:sz w:val="44"/>
          <w:szCs w:val="44"/>
        </w:rPr>
      </w:pPr>
      <w:r>
        <w:t>I hereby solemnly declare that this practicum report entitled "IntelliGrade: An End-to-End Outcome-Based Examination Management and Intelligent Script Evaluation Ecosystem for Higher Education Institutions" is an authentic record of original work carried out by me under the supervision and academic guidance of the Department of Computer Science and Engineering, College of Engineering and Technology, IUBAT. This report, or any part thereof, has not been submitted elsewhere for the award of any degree, diploma, or academic distinction. All secondary literature, frameworks, libraries, and institutional resources utilized in the development and documentation of this project have been duly cited in accordance with Harvard Referencing standards. I confirm that no data falsification or plagiarism has been committed.</w:t>
      </w:r>
    </w:p>
    <w:p w:rsidR="009C2EE8" w:rsidRPr="005C774C" w:rsidRDefault="009C2EE8" w:rsidP="009C2EE8">
      <w:pPr>
        <w:tabs>
          <w:tab w:val="left" w:pos="1066"/>
        </w:tabs>
      </w:pPr>
    </w:p>
    <w:p w:rsidR="009C2EE8" w:rsidRPr="00DA187D" w:rsidRDefault="009C2EE8" w:rsidP="00DA187D">
      <w:pPr>
        <w:pStyle w:val="BodyText"/>
      </w:pPr>
    </w:p>
    <w:p w:rsidR="009C2EE8" w:rsidRPr="005C774C" w:rsidRDefault="009C2EE8" w:rsidP="009C2EE8">
      <w:pPr>
        <w:tabs>
          <w:tab w:val="left" w:pos="1066"/>
        </w:tabs>
      </w:pPr>
    </w:p>
    <w:p w:rsidR="009C2EE8" w:rsidRPr="005C774C" w:rsidRDefault="009C2EE8" w:rsidP="009C2EE8">
      <w:pPr>
        <w:tabs>
          <w:tab w:val="left" w:pos="1066"/>
        </w:tabs>
      </w:pPr>
    </w:p>
    <w:p w:rsidR="009C2EE8" w:rsidRPr="005C774C" w:rsidRDefault="009C2EE8" w:rsidP="009C2EE8">
      <w:pPr>
        <w:tabs>
          <w:tab w:val="left" w:pos="1066"/>
        </w:tabs>
      </w:pPr>
    </w:p>
    <w:p w:rsidR="009C2EE8" w:rsidRPr="005C774C" w:rsidRDefault="009C2EE8" w:rsidP="009C2EE8">
      <w:pPr>
        <w:spacing w:after="120" w:line="360" w:lineRule="auto"/>
      </w:pPr>
    </w:p>
    <w:p w:rsidR="009C2EE8" w:rsidRPr="005C774C" w:rsidRDefault="009C2EE8" w:rsidP="009C2EE8">
      <w:pPr>
        <w:spacing w:after="120" w:line="360" w:lineRule="auto"/>
      </w:pPr>
    </w:p>
    <w:p w:rsidR="009C2EE8" w:rsidRPr="005C774C" w:rsidRDefault="009C2EE8" w:rsidP="009C2EE8">
      <w:pPr>
        <w:spacing w:after="120" w:line="360" w:lineRule="auto"/>
      </w:pPr>
    </w:p>
    <w:p w:rsidR="009C2EE8" w:rsidRPr="005C774C" w:rsidRDefault="009C2EE8" w:rsidP="009C2EE8">
      <w:pPr>
        <w:spacing w:after="120" w:line="360" w:lineRule="auto"/>
      </w:pPr>
    </w:p>
    <w:p w:rsidR="009C2EE8" w:rsidRDefault="009C2EE8"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6A21C9" w:rsidRPr="005C774C" w:rsidRDefault="006A21C9" w:rsidP="006A21C9">
      <w:pPr>
        <w:spacing w:before="360" w:after="0"/>
      </w:pPr>
      <w:r w:rsidRPr="005C774C">
        <w:t xml:space="preserve"> _____________</w:t>
      </w:r>
      <w:r>
        <w:tab/>
      </w:r>
      <w:r>
        <w:tab/>
      </w:r>
    </w:p>
    <w:p w:rsidR="006A21C9" w:rsidRPr="00AA75BD" w:rsidRDefault="00120A5A" w:rsidP="00E373BE">
      <w:pPr>
        <w:spacing w:after="0" w:line="360" w:lineRule="auto"/>
      </w:pPr>
      <w:r>
        <w:t>Md. Taher Bin Omar Hijbullah</w:t>
      </w:r>
    </w:p>
    <w:p w:rsidR="00924BA0" w:rsidRDefault="00120A5A" w:rsidP="00E373BE">
      <w:pPr>
        <w:spacing w:after="0" w:line="360" w:lineRule="auto"/>
      </w:pPr>
      <w:r>
        <w:t>ID# 22303142</w:t>
      </w:r>
    </w:p>
    <w:p w:rsidR="006A21C9" w:rsidRPr="005C774C" w:rsidRDefault="006A21C9" w:rsidP="00E373BE">
      <w:pPr>
        <w:spacing w:after="0" w:line="360" w:lineRule="auto"/>
        <w:sectPr w:rsidR="006A21C9" w:rsidRPr="005C774C" w:rsidSect="00DB681C">
          <w:pgSz w:w="12240" w:h="15840"/>
          <w:pgMar w:top="1440" w:right="1440" w:bottom="1440" w:left="1800" w:header="720" w:footer="720" w:gutter="0"/>
          <w:pgNumType w:fmt="lowerRoman"/>
          <w:cols w:space="720"/>
          <w:docGrid w:linePitch="360"/>
        </w:sectPr>
      </w:pPr>
    </w:p>
    <w:p w:rsidR="00422711" w:rsidRPr="005C774C" w:rsidRDefault="00EB31B3" w:rsidP="00422711">
      <w:pPr>
        <w:pStyle w:val="Heading2"/>
        <w:rPr>
          <w:b/>
          <w:szCs w:val="28"/>
        </w:rPr>
      </w:pPr>
      <w:bookmarkStart w:id="12" w:name="_Toc195098816"/>
      <w:bookmarkStart w:id="13" w:name="_Toc196334848"/>
      <w:r w:rsidRPr="005C774C">
        <w:rPr>
          <w:rFonts w:cs="Times New Roman"/>
          <w:b/>
          <w:szCs w:val="36"/>
        </w:rPr>
        <w:lastRenderedPageBreak/>
        <w:t>Supervisor’s Certification</w:t>
      </w:r>
      <w:bookmarkEnd w:id="12"/>
      <w:bookmarkEnd w:id="13"/>
    </w:p>
    <w:p w:rsidR="007B7943" w:rsidRDefault="00927C9E" w:rsidP="004F138B">
      <w:pPr>
        <w:pStyle w:val="BodyText"/>
      </w:pPr>
      <w:r>
        <w:t>This is to certify that the practicum report entitled "IntelliGrade: An End-to-End Outcome-Based Examination Management and Intelligent Script Evaluation Ecosystem for Higher Education Institutions" submitted by Md. Taher Bin Omar Hijbullah, Student ID: 22303142, has been prepared under my direct supervision and guidance in partial fulfillment of the requirements for the degree of Bachelor of Computer Science and Engineering (BCSE) from the Department of Computer Science and Engineering, College of Engineering and Technology, IUBAT. The candidate has fulfilled all academic, technical, and reporting requirements as prescribed by the university. The report represents original software engineering work and is recommended for submission and final defense before the Practicum Defense Committee.</w:t>
      </w:r>
    </w:p>
    <w:p w:rsidR="004E5123" w:rsidRPr="005C774C" w:rsidRDefault="00927C9E" w:rsidP="00927C9E">
      <w:pPr>
        <w:pStyle w:val="BodyText"/>
        <w:rPr>
          <w:b/>
          <w:bCs/>
          <w:sz w:val="44"/>
          <w:szCs w:val="44"/>
        </w:rPr>
      </w:pPr>
      <w:r/>
    </w:p>
    <w:p w:rsidR="004E5123" w:rsidRPr="005C774C" w:rsidRDefault="004E5123" w:rsidP="004E5123">
      <w:pPr>
        <w:spacing w:after="240" w:line="360" w:lineRule="auto"/>
      </w:pPr>
    </w:p>
    <w:p w:rsidR="004E5123" w:rsidRPr="005C774C" w:rsidRDefault="004E5123" w:rsidP="004E5123"/>
    <w:p w:rsidR="004E5123" w:rsidRPr="005C774C" w:rsidRDefault="004E5123" w:rsidP="004E5123"/>
    <w:p w:rsidR="00735F2C" w:rsidRDefault="00735F2C" w:rsidP="004E5123"/>
    <w:p w:rsidR="007D0771" w:rsidRDefault="007D0771" w:rsidP="004E5123"/>
    <w:p w:rsidR="007D0771" w:rsidRDefault="007D0771" w:rsidP="004E5123"/>
    <w:p w:rsidR="007D0771" w:rsidRDefault="007D0771" w:rsidP="004E5123"/>
    <w:p w:rsidR="007D0771" w:rsidRDefault="007D0771" w:rsidP="004E5123"/>
    <w:p w:rsidR="007D0771" w:rsidRDefault="007D0771" w:rsidP="004E5123"/>
    <w:p w:rsidR="007D0771" w:rsidRDefault="007D0771" w:rsidP="004E5123"/>
    <w:p w:rsidR="00542244" w:rsidRPr="00542244" w:rsidRDefault="00542244" w:rsidP="004E5123">
      <w:pPr>
        <w:rPr>
          <w:sz w:val="16"/>
        </w:rPr>
      </w:pPr>
    </w:p>
    <w:p w:rsidR="004E5123" w:rsidRPr="005C774C" w:rsidRDefault="004E5123" w:rsidP="004E5123">
      <w:r w:rsidRPr="005C774C">
        <w:t xml:space="preserve">_______________________________  </w:t>
      </w:r>
    </w:p>
    <w:p w:rsidR="00927C9E" w:rsidRPr="0076595A" w:rsidRDefault="00927C9E" w:rsidP="00E373BE">
      <w:pPr>
        <w:spacing w:after="0" w:line="360" w:lineRule="auto"/>
      </w:pPr>
      <w:r>
        <w:t>Supervisor Name</w:t>
      </w:r>
    </w:p>
    <w:p w:rsidR="00927C9E" w:rsidRPr="0076595A" w:rsidRDefault="00927C9E" w:rsidP="00E373BE">
      <w:pPr>
        <w:spacing w:after="0" w:line="360" w:lineRule="auto"/>
      </w:pPr>
      <w:r>
        <w:t>Supervisor and Assistant Professor, Department of Computer Science and Engineering, IUBAT</w:t>
      </w:r>
    </w:p>
    <w:p w:rsidR="00927C9E" w:rsidRPr="0076595A" w:rsidRDefault="00927C9E" w:rsidP="00E373BE">
      <w:pPr>
        <w:spacing w:after="0" w:line="360" w:lineRule="auto"/>
      </w:pPr>
      <w:r w:rsidRPr="0076595A">
        <w:t>Department of Computer Science and Engineering</w:t>
      </w:r>
    </w:p>
    <w:p w:rsidR="00EE0DD9" w:rsidRDefault="00927C9E" w:rsidP="00E373BE">
      <w:pPr>
        <w:pStyle w:val="BodyText"/>
        <w:spacing w:before="0"/>
        <w:ind w:firstLine="0"/>
      </w:pPr>
      <w:r w:rsidRPr="0076595A">
        <w:t>IUBAT</w:t>
      </w:r>
      <w:r w:rsidR="00E373BE">
        <w:t>—</w:t>
      </w:r>
      <w:r w:rsidRPr="0076595A">
        <w:t>International University of Business Agriculture and Technology</w:t>
      </w:r>
    </w:p>
    <w:p w:rsidR="00EE0DD9" w:rsidRDefault="00EE0DD9" w:rsidP="00E373BE">
      <w:pPr>
        <w:pStyle w:val="BodyText"/>
        <w:spacing w:before="0"/>
        <w:ind w:firstLine="0"/>
        <w:sectPr w:rsidR="00EE0DD9" w:rsidSect="00DB681C">
          <w:headerReference w:type="first" r:id="rId14"/>
          <w:pgSz w:w="12240" w:h="15840"/>
          <w:pgMar w:top="1440" w:right="1440" w:bottom="1440" w:left="1800" w:header="720" w:footer="720" w:gutter="0"/>
          <w:pgNumType w:fmt="lowerRoman"/>
          <w:cols w:space="720"/>
          <w:docGrid w:linePitch="360"/>
        </w:sectPr>
      </w:pPr>
    </w:p>
    <w:p w:rsidR="0025522D" w:rsidRPr="005C774C" w:rsidRDefault="0025522D" w:rsidP="0025522D">
      <w:pPr>
        <w:pStyle w:val="Heading2"/>
      </w:pPr>
      <w:bookmarkStart w:id="14" w:name="_Toc195098817"/>
      <w:bookmarkStart w:id="15" w:name="_Toc196334849"/>
      <w:r w:rsidRPr="005C774C">
        <w:rPr>
          <w:b/>
        </w:rPr>
        <w:lastRenderedPageBreak/>
        <w:t>Abstract</w:t>
      </w:r>
      <w:bookmarkEnd w:id="14"/>
      <w:bookmarkEnd w:id="15"/>
    </w:p>
    <w:p w:rsidR="00DB5D95" w:rsidRDefault="00DB5D95" w:rsidP="0025522D">
      <w:pPr>
        <w:pStyle w:val="BodyText"/>
      </w:pPr>
      <w:r>
        <w:t>Higher education institutions face systemic bottlenecks across the examination lifecycle: manual examination routine scheduling, disconnected rubric authoring, grading fatigue, subjective evaluation variance across examiners, and laborious manual computation of Course Outcome (CO) and Program Outcome (PO) attainments required for BAETE and Washington Accord accreditation. This practicum presents IntelliGrade, an enterprise-grade academic SaaS platform and comprehensive evaluation ecosystem engineered to automate and modernize the university examination lifecycle while maintaining strict Human-in-the-Loop teacher verification. Developed on Django 5.2 and PostgreSQL with composite B-tree index optimization, the system incorporates seven core subsystems: (1) Administrative Governance and an AI Multimodal Exam Routine Parser with 0ms local course matching; (2) a 23-Taxonomy OBE Question Paper &amp; Master Solution Studio capturing COs, POs, Bloom's cognitive levels, Knowledge Profiles (KP), Complex Engineering Problems (CEP), Complex Engineering Activities (CEA), diagrams, tables, and LaTeX formulas; (3) a Universal Script Preprocessing Engine rendering multi-page submissions at 300 DPI with Hough transform deskewing and Otsu thresholding; (4) a Hybrid OCR Architecture combining PyMuPDF native glyph extraction, PyTesseract printed text OCR, and EasyOCR deep learning (CRAFT + BiLSTM on PyTorch CPU) with a start-of-line regex state machine for question boundary mapping; (5) Dual Evaluation Workbenches comprising an automated AI Wizard (v3.0) backed by a multi-provider failover orchestrator (Local Moondream2 800px LANCZOS, Groq Llama-3.3 70B, Google Gemini 2.5 Flash, OpenRouter, and OpenAI GPT-4o with a 429 rate-limit cooldown registry) alongside a Fast-Track Manual Grading Wizard with zero AI/OCR interference; (6) an interactive split-screen teacher grading workbench with eager-loaded relations, score override, immutable audit logging, certified watermarked PDF generation, and automated draft artifact purging; and (7) a real-time bi-directional Course OBE Tabulation Engine dynamically aggregating Class Tests (10%), Midterm (25%), Final Exam (50%), Assignment (10%), and Attendance (5%), synchronizing live with student dashboards and exporting official 8-sheet Excel workbooks via openpyxl. Comprehensive unit and integration testing demonstrates 100% test pass rates across all modules, reducing script grading turnaround from ~14 minutes of manual grading to under 30 seconds of teacher verification, establishing IntelliGrade as an efficient, transparent, and scalable institutional solution.</w:t>
      </w:r>
    </w:p>
    <w:p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rsidR="00422711" w:rsidRPr="005C774C" w:rsidRDefault="00422711" w:rsidP="00422711">
      <w:pPr>
        <w:pStyle w:val="Heading2"/>
        <w:rPr>
          <w:b/>
        </w:rPr>
      </w:pPr>
      <w:bookmarkStart w:id="16" w:name="_Toc195098818"/>
      <w:bookmarkStart w:id="17" w:name="_Toc196334850"/>
      <w:r w:rsidRPr="005C774C">
        <w:rPr>
          <w:b/>
        </w:rPr>
        <w:lastRenderedPageBreak/>
        <w:t>Acknowledgments</w:t>
      </w:r>
      <w:bookmarkEnd w:id="16"/>
      <w:bookmarkEnd w:id="17"/>
    </w:p>
    <w:p w:rsidR="00422711" w:rsidRPr="005C774C" w:rsidRDefault="00113413" w:rsidP="004104C4">
      <w:pPr>
        <w:pStyle w:val="BodyText"/>
      </w:pPr>
      <w:r>
        <w:t>First and foremost, I express my profound gratitude to Almighty Allah for bestowing upon me the knowledge, perseverance, health, and strength required to successfully complete this practicum project and prepare this comprehensive report.</w:t>
      </w:r>
    </w:p>
    <w:p>
      <w:pPr>
        <w:pStyle w:val="BodyText"/>
      </w:pPr>
      <w:r>
        <w:rPr>
          <w:rFonts w:ascii="Times New Roman" w:hAnsi="Times New Roman"/>
        </w:rPr>
        <w:t>I express my deepest appreciation and respect to Prof. Dr. Utpal Kanti Das, Chairman of the Department of Computer Science and Engineering, for his visionary leadership, continuous encouragement, and high academic standards that inspire technical excellence across the department.</w:t>
      </w:r>
    </w:p>
    <w:p>
      <w:pPr>
        <w:pStyle w:val="BodyText"/>
      </w:pPr>
      <w:r>
        <w:rPr>
          <w:rFonts w:ascii="Times New Roman" w:hAnsi="Times New Roman"/>
        </w:rPr>
        <w:t>I extend my sincere gratitude to Shahinur Alam, Co-supervisor, Practicum Coordinator, and Assistant Professor, for his meticulous coordination, invaluable directives, and structured feedback throughout all phases of the practicum program.</w:t>
      </w:r>
    </w:p>
    <w:p>
      <w:pPr>
        <w:pStyle w:val="BodyText"/>
      </w:pPr>
      <w:r>
        <w:rPr>
          <w:rFonts w:ascii="Times New Roman" w:hAnsi="Times New Roman"/>
        </w:rPr>
        <w:t>I am profoundly indebted to my faculty supervisor, whose expert mentorship, insightful guidance, and rigorous constructive critique were instrumental in shaping the architecture, methodologies, and outcomes of IntelliGrade.</w:t>
      </w:r>
    </w:p>
    <w:p>
      <w:pPr>
        <w:pStyle w:val="BodyText"/>
      </w:pPr>
      <w:r>
        <w:rPr>
          <w:rFonts w:ascii="Times New Roman" w:hAnsi="Times New Roman"/>
        </w:rPr>
        <w:t>I also wish to thank all respected faculty members of the Department of Computer Science and Engineering and the College of Engineering and Technology at IUBAT for providing a solid theoretical foundation and practical training throughout my undergraduate studies.</w:t>
      </w:r>
    </w:p>
    <w:p>
      <w:pPr>
        <w:pStyle w:val="BodyText"/>
      </w:pPr>
      <w:r>
        <w:rPr>
          <w:rFonts w:ascii="Times New Roman" w:hAnsi="Times New Roman"/>
        </w:rPr>
        <w:t>Finally, I express my heartfelt gratitude to my beloved parents, family members, and peers for their unconditional love, moral support, and endless encouragement throughout this challenging and rewarding academic endeavor.</w:t>
      </w:r>
    </w:p>
    <w:p w:rsidR="00E9460B" w:rsidRPr="005C774C" w:rsidRDefault="00E9460B" w:rsidP="00735F2C">
      <w:pPr>
        <w:pStyle w:val="BodyText"/>
        <w:sectPr w:rsidR="00E9460B" w:rsidRPr="005C774C" w:rsidSect="00DB681C">
          <w:headerReference w:type="first" r:id="rId15"/>
          <w:pgSz w:w="12240" w:h="15840"/>
          <w:pgMar w:top="1440" w:right="1440" w:bottom="1440" w:left="1800" w:header="720" w:footer="720" w:gutter="0"/>
          <w:pgNumType w:fmt="lowerRoman"/>
          <w:cols w:space="720"/>
          <w:docGrid w:linePitch="360"/>
        </w:sectPr>
      </w:pPr>
    </w:p>
    <w:p>
      <w:pPr/>
      <w:r>
        <w:t>Table of Contents</w:t>
      </w:r>
    </w:p>
    <w:p>
      <w:pPr>
        <w:pStyle w:val="TOC1"/>
      </w:pPr>
      <w:r>
        <w:t>Letter of Transmittal</w:t>
        <w:tab/>
        <w:t>iii</w:t>
      </w:r>
    </w:p>
    <w:p>
      <w:pPr>
        <w:pStyle w:val="TOC1"/>
      </w:pPr>
      <w:r>
        <w:t>Organization’s Certificate</w:t>
        <w:tab/>
        <w:t>iv</w:t>
      </w:r>
    </w:p>
    <w:p>
      <w:pPr>
        <w:pStyle w:val="TOC1"/>
      </w:pPr>
      <w:r>
        <w:t>Student’s Declaration</w:t>
        <w:tab/>
        <w:t>v</w:t>
      </w:r>
    </w:p>
    <w:p>
      <w:pPr>
        <w:pStyle w:val="TOC1"/>
      </w:pPr>
      <w:r>
        <w:t>Supervisor’s Certification</w:t>
        <w:tab/>
        <w:t>vi</w:t>
      </w:r>
    </w:p>
    <w:p>
      <w:pPr>
        <w:pStyle w:val="TOC1"/>
      </w:pPr>
      <w:r>
        <w:t>Abstract</w:t>
        <w:tab/>
        <w:t>vii</w:t>
      </w:r>
    </w:p>
    <w:p>
      <w:pPr>
        <w:pStyle w:val="TOC1"/>
      </w:pPr>
      <w:r>
        <w:t>Acknowledgments</w:t>
        <w:tab/>
        <w:t>viii</w:t>
      </w:r>
    </w:p>
    <w:p>
      <w:pPr>
        <w:pStyle w:val="TOC1"/>
      </w:pPr>
      <w:r>
        <w:t>List of Figures</w:t>
        <w:tab/>
        <w:t>xii</w:t>
      </w:r>
    </w:p>
    <w:p>
      <w:pPr>
        <w:pStyle w:val="TOC1"/>
      </w:pPr>
      <w:r>
        <w:t>List of Tables</w:t>
        <w:tab/>
        <w:t>xiii</w:t>
      </w:r>
    </w:p>
    <w:p>
      <w:pPr>
        <w:pStyle w:val="TOC1"/>
      </w:pPr>
      <w:r>
        <w:t>Chapter 1. Introduction</w:t>
        <w:tab/>
        <w:t>1</w:t>
      </w:r>
    </w:p>
    <w:p>
      <w:pPr>
        <w:pStyle w:val="TOC3"/>
      </w:pPr>
      <w:r>
        <w:t>1.1 Background of the Study</w:t>
        <w:tab/>
        <w:t>2</w:t>
      </w:r>
    </w:p>
    <w:p>
      <w:pPr>
        <w:pStyle w:val="TOC3"/>
      </w:pPr>
      <w:r>
        <w:t>1.2 Methodology</w:t>
        <w:tab/>
        <w:t>3</w:t>
      </w:r>
    </w:p>
    <w:p>
      <w:pPr>
        <w:pStyle w:val="TOC4"/>
      </w:pPr>
      <w:r>
        <w:t>1.2.1 Primary Sources.</w:t>
        <w:tab/>
        <w:t>3</w:t>
      </w:r>
    </w:p>
    <w:p>
      <w:pPr>
        <w:pStyle w:val="TOC4"/>
      </w:pPr>
      <w:r>
        <w:t>1.2.2 Secondary Sources.</w:t>
        <w:tab/>
        <w:t>4</w:t>
      </w:r>
    </w:p>
    <w:p>
      <w:pPr>
        <w:pStyle w:val="TOC3"/>
      </w:pPr>
      <w:r>
        <w:t>1.3 Objectives</w:t>
        <w:tab/>
        <w:t>4</w:t>
      </w:r>
    </w:p>
    <w:p>
      <w:pPr>
        <w:pStyle w:val="TOC4"/>
      </w:pPr>
      <w:r>
        <w:t>1.3.1 Broad Objective.</w:t>
        <w:tab/>
        <w:t>4</w:t>
      </w:r>
    </w:p>
    <w:p>
      <w:pPr>
        <w:pStyle w:val="TOC4"/>
      </w:pPr>
      <w:r>
        <w:t>1.3.2 Specific Objectives.</w:t>
        <w:tab/>
        <w:t>5</w:t>
      </w:r>
    </w:p>
    <w:p>
      <w:pPr>
        <w:pStyle w:val="TOC3"/>
      </w:pPr>
      <w:r>
        <w:t>1.4 Process Model</w:t>
        <w:tab/>
        <w:t>6</w:t>
      </w:r>
    </w:p>
    <w:p>
      <w:pPr>
        <w:pStyle w:val="TOC3"/>
      </w:pPr>
      <w:r>
        <w:t>1.5 Feasibility Study</w:t>
        <w:tab/>
        <w:t>7</w:t>
      </w:r>
    </w:p>
    <w:p>
      <w:pPr>
        <w:pStyle w:val="TOC4"/>
      </w:pPr>
      <w:r>
        <w:t>1.5.1 Technical Feasibility.</w:t>
        <w:tab/>
        <w:t>7</w:t>
      </w:r>
    </w:p>
    <w:p>
      <w:pPr>
        <w:pStyle w:val="TOC4"/>
      </w:pPr>
      <w:r>
        <w:t>1.5.2 Economic Feasibility.</w:t>
        <w:tab/>
        <w:t>8</w:t>
      </w:r>
    </w:p>
    <w:p>
      <w:pPr>
        <w:pStyle w:val="TOC4"/>
      </w:pPr>
      <w:r>
        <w:t>1.5.3 Operational Feasibility.</w:t>
        <w:tab/>
        <w:t>8</w:t>
      </w:r>
    </w:p>
    <w:p>
      <w:pPr>
        <w:pStyle w:val="TOC3"/>
      </w:pPr>
      <w:r>
        <w:t>1.6 Structure of the Report</w:t>
        <w:tab/>
        <w:t>9</w:t>
      </w:r>
    </w:p>
    <w:p>
      <w:pPr>
        <w:pStyle w:val="TOC1"/>
      </w:pPr>
      <w:r>
        <w:t>Chapter 2. Organizational Overview</w:t>
        <w:tab/>
        <w:t>10</w:t>
      </w:r>
    </w:p>
    <w:p>
      <w:pPr>
        <w:pStyle w:val="TOC3"/>
      </w:pPr>
      <w:r>
        <w:t>2.1 Organization Vision</w:t>
        <w:tab/>
        <w:t>11</w:t>
      </w:r>
    </w:p>
    <w:p>
      <w:pPr>
        <w:pStyle w:val="TOC3"/>
      </w:pPr>
      <w:r>
        <w:t>2.2 Organization Mission</w:t>
        <w:tab/>
        <w:t>11</w:t>
      </w:r>
    </w:p>
    <w:p>
      <w:pPr>
        <w:pStyle w:val="TOC3"/>
      </w:pPr>
      <w:r>
        <w:t>2.3 Organization Services</w:t>
        <w:tab/>
        <w:t>12</w:t>
      </w:r>
    </w:p>
    <w:p>
      <w:pPr>
        <w:pStyle w:val="TOC3"/>
      </w:pPr>
      <w:r>
        <w:t>2.4 Organizational Structure</w:t>
        <w:tab/>
        <w:t>12</w:t>
      </w:r>
    </w:p>
    <w:p>
      <w:pPr>
        <w:pStyle w:val="TOC3"/>
      </w:pPr>
      <w:r>
        <w:t>2.5 My Position in this Organization</w:t>
        <w:tab/>
        <w:t>13</w:t>
      </w:r>
    </w:p>
    <w:p>
      <w:pPr>
        <w:pStyle w:val="TOC3"/>
      </w:pPr>
      <w:r>
        <w:t>2.6 Address of the Organization</w:t>
        <w:tab/>
        <w:t>13</w:t>
      </w:r>
    </w:p>
    <w:p>
      <w:pPr>
        <w:pStyle w:val="TOC1"/>
      </w:pPr>
      <w:r>
        <w:t>Chapter 3. Methods, System Design and Implementation</w:t>
        <w:tab/>
        <w:t>14</w:t>
      </w:r>
    </w:p>
    <w:p>
      <w:pPr>
        <w:pStyle w:val="TOC3"/>
      </w:pPr>
      <w:r>
        <w:t>3.1 Software Requirements Analysis &amp; Specification</w:t>
        <w:tab/>
        <w:t>15</w:t>
      </w:r>
    </w:p>
    <w:p>
      <w:pPr>
        <w:pStyle w:val="TOC3"/>
      </w:pPr>
      <w:r>
        <w:t>3.2 System Architecture &amp; Technology Stack</w:t>
        <w:tab/>
        <w:t>17</w:t>
      </w:r>
    </w:p>
    <w:p>
      <w:pPr>
        <w:pStyle w:val="TOC4"/>
      </w:pPr>
      <w:r>
        <w:t>3.2.2 Technology Stack Matrix.</w:t>
        <w:tab/>
        <w:t>18</w:t>
      </w:r>
    </w:p>
    <w:p>
      <w:pPr>
        <w:pStyle w:val="TOC4"/>
      </w:pPr>
      <w:r>
        <w:t>3.2.3 Security Architecture &amp; Role-Based Access Control.</w:t>
        <w:tab/>
        <w:t>19</w:t>
      </w:r>
    </w:p>
    <w:p>
      <w:pPr>
        <w:pStyle w:val="TOC3"/>
      </w:pPr>
      <w:r>
        <w:t>3.3 Database Schema &amp; Performance Optimization</w:t>
        <w:tab/>
        <w:t>20</w:t>
      </w:r>
    </w:p>
    <w:p>
      <w:pPr>
        <w:pStyle w:val="TOC4"/>
      </w:pPr>
      <w:r>
        <w:t>3.3.2 Composite Indexing Strategy &amp; N+1 Query Elimination.</w:t>
        <w:tab/>
        <w:t>22</w:t>
      </w:r>
    </w:p>
    <w:p>
      <w:pPr>
        <w:pStyle w:val="TOC3"/>
      </w:pPr>
      <w:r>
        <w:t>3.4 AI Ingestion &amp; Preprocessing Pipeline</w:t>
        <w:tab/>
        <w:t>23</w:t>
      </w:r>
    </w:p>
    <w:p>
      <w:pPr>
        <w:pStyle w:val="TOC4"/>
      </w:pPr>
      <w:r>
        <w:t>3.4.2 300 DPI Document Preprocessing, Deskewing &amp; Thresholding.</w:t>
        <w:tab/>
        <w:t>24</w:t>
      </w:r>
    </w:p>
    <w:p>
      <w:pPr>
        <w:pStyle w:val="TOC4"/>
      </w:pPr>
      <w:r>
        <w:t>3.4.3 Hybrid Multi-Engine Optical Character Recognition Cascade.</w:t>
        <w:tab/>
        <w:t>25</w:t>
      </w:r>
    </w:p>
    <w:p>
      <w:pPr>
        <w:pStyle w:val="TOC4"/>
      </w:pPr>
      <w:r>
        <w:t>3.4.4 Question Boundary Discovery State Machine &amp; Spatial Mapping.</w:t>
        <w:tab/>
        <w:t>26</w:t>
      </w:r>
    </w:p>
    <w:p>
      <w:pPr>
        <w:pStyle w:val="TOC3"/>
      </w:pPr>
      <w:r>
        <w:t>3.5 Dual Evaluation Workbenches &amp; Multi-Provider AI Failover</w:t>
        <w:tab/>
        <w:t>27</w:t>
      </w:r>
    </w:p>
    <w:p>
      <w:pPr>
        <w:pStyle w:val="TOC4"/>
      </w:pPr>
      <w:r>
        <w:t>3.5.2 Fast-Track Manual Script Grading Wizard.</w:t>
        <w:tab/>
        <w:t>28</w:t>
      </w:r>
    </w:p>
    <w:p>
      <w:pPr>
        <w:pStyle w:val="TOC4"/>
      </w:pPr>
      <w:r>
        <w:t>3.5.3 Resilient Multi-Provider AI Evaluation Failover Architecture.</w:t>
        <w:tab/>
        <w:t>29</w:t>
      </w:r>
    </w:p>
    <w:p>
      <w:pPr>
        <w:pStyle w:val="TOC4"/>
      </w:pPr>
      <w:r>
        <w:t>3.5.4 23-Taxonomy OBE Scoring &amp; JSON LaTeX Repair Engine.</w:t>
        <w:tab/>
        <w:t>30</w:t>
      </w:r>
    </w:p>
    <w:p>
      <w:pPr>
        <w:pStyle w:val="TOC3"/>
      </w:pPr>
      <w:r>
        <w:t>3.6 Human-in-the-Loop Split-Screen Verification Workbench</w:t>
        <w:tab/>
        <w:t>31</w:t>
      </w:r>
    </w:p>
    <w:p>
      <w:pPr>
        <w:pStyle w:val="TOC4"/>
      </w:pPr>
      <w:r>
        <w:t>3.6.2 Teacher Override, Immutable Audit Logging &amp; Certified PDF Generation.</w:t>
        <w:tab/>
        <w:t>32</w:t>
      </w:r>
    </w:p>
    <w:p>
      <w:pPr>
        <w:pStyle w:val="TOC3"/>
      </w:pPr>
      <w:r>
        <w:t>3.7 Outcome-Based Course Tabulation &amp; Dissemination</w:t>
        <w:tab/>
        <w:t>33</w:t>
      </w:r>
    </w:p>
    <w:p>
      <w:pPr>
        <w:pStyle w:val="TOC4"/>
      </w:pPr>
      <w:r>
        <w:t>3.7.2 Real-Time Bi-Directional 8-Sheet OBE Excel Engine.</w:t>
        <w:tab/>
        <w:t>34</w:t>
      </w:r>
    </w:p>
    <w:p>
      <w:pPr>
        <w:pStyle w:val="TOC4"/>
      </w:pPr>
      <w:r>
        <w:t>3.7.3 Student &amp; Department Head Analytics Dashboards.</w:t>
        <w:tab/>
        <w:t>35</w:t>
      </w:r>
    </w:p>
    <w:p>
      <w:pPr>
        <w:pStyle w:val="TOC4"/>
      </w:pPr>
      <w:r>
        <w:t>3.7.4 Asynchronous Multi-Threaded Institutional Email Pipeline.</w:t>
        <w:tab/>
        <w:t>36</w:t>
      </w:r>
    </w:p>
    <w:p>
      <w:pPr>
        <w:pStyle w:val="TOC3"/>
      </w:pPr>
      <w:r>
        <w:t>3.8 System Verification, Testing &amp; Benchmarking</w:t>
        <w:tab/>
        <w:t>37</w:t>
      </w:r>
    </w:p>
    <w:p>
      <w:pPr>
        <w:pStyle w:val="TOC4"/>
      </w:pPr>
      <w:r>
        <w:t>3.8.2 Latency Benchmark Analysis: CPU vs GPU vs Cloud Tier 1.</w:t>
        <w:tab/>
        <w:t>38</w:t>
      </w:r>
    </w:p>
    <w:p>
      <w:pPr>
        <w:pStyle w:val="TOC4"/>
      </w:pPr>
      <w:r>
        <w:t>3.8.3 Qualitative Grading Accuracy &amp; Confidence Calibration.</w:t>
        <w:tab/>
        <w:t>39</w:t>
      </w:r>
    </w:p>
    <w:p>
      <w:pPr>
        <w:pStyle w:val="TOC1"/>
      </w:pPr>
      <w:r>
        <w:t>Chapter 4. Conclusion</w:t>
        <w:tab/>
        <w:t>40</w:t>
      </w:r>
    </w:p>
    <w:p>
      <w:pPr>
        <w:pStyle w:val="TOC3"/>
      </w:pPr>
      <w:r>
        <w:t>4.1 Summary of Practicum Achievements</w:t>
        <w:tab/>
        <w:t>41</w:t>
      </w:r>
    </w:p>
    <w:p>
      <w:pPr>
        <w:pStyle w:val="TOC3"/>
      </w:pPr>
      <w:r>
        <w:t>4.2 Practical Contributions to Higher Education &amp; Accreditation</w:t>
        <w:tab/>
        <w:t>42</w:t>
      </w:r>
    </w:p>
    <w:p>
      <w:pPr>
        <w:pStyle w:val="TOC3"/>
      </w:pPr>
      <w:r>
        <w:t>4.3 System Limitations &amp; Operational Constraints</w:t>
        <w:tab/>
        <w:t>43</w:t>
      </w:r>
    </w:p>
    <w:p>
      <w:pPr>
        <w:pStyle w:val="TOC3"/>
      </w:pPr>
      <w:r>
        <w:t>4.4 Future Development Roadmap</w:t>
        <w:tab/>
        <w:t>44</w:t>
      </w:r>
    </w:p>
    <w:p>
      <w:pPr>
        <w:pStyle w:val="TOC1"/>
      </w:pPr>
      <w:r>
        <w:t>References</w:t>
        <w:tab/>
        <w:t>45</w:t>
      </w:r>
    </w:p>
    <w:p>
      <w:pPr>
        <w:pStyle w:val="TOC1"/>
        <w:sectPr w:rsidR="00422711" w:rsidRPr="005C774C" w:rsidSect="00DB681C">
          <w:pgSz w:w="12240" w:h="15840"/>
          <w:pgMar w:top="1440" w:right="1440" w:bottom="1440" w:left="1800" w:header="720" w:footer="720" w:gutter="0"/>
          <w:pgNumType w:fmt="lowerRoman"/>
          <w:cols w:space="720"/>
          <w:docGrid w:linePitch="360"/>
        </w:sectPr>
      </w:pPr>
      <w:r>
        <w:t>Plagiarism Report</w:t>
        <w:tab/>
        <w:t>48</w:t>
      </w:r>
    </w:p>
    <w:p>
      <w:pPr>
        <w:pStyle w:val="Heading2"/>
      </w:pPr>
      <w:r>
        <w:t>List of Figures</w:t>
      </w:r>
    </w:p>
    <w:p>
      <w:pPr>
        <w:pStyle w:val="TableofFigures"/>
      </w:pPr>
      <w:r>
        <w:t>Figure 2.1 Organizational Structure of IUBAT and IntelliGrade Practicum Engineering Cell</w:t>
        <w:tab/>
        <w:t>13</w:t>
      </w:r>
    </w:p>
    <w:p>
      <w:pPr>
        <w:pStyle w:val="TableofFigures"/>
      </w:pPr>
      <w:r>
        <w:t>Figure 3.1 Domain Entity Architecture &amp; Relational Class Diagram</w:t>
        <w:tab/>
        <w:t>16</w:t>
      </w:r>
    </w:p>
    <w:p>
      <w:pPr>
        <w:pStyle w:val="TableofFigures"/>
      </w:pPr>
      <w:r>
        <w:t>Figure 3.2 High-Level Multi-Tier System Architecture of IntelliGrade</w:t>
        <w:tab/>
        <w:t>17</w:t>
      </w:r>
    </w:p>
    <w:p>
      <w:pPr>
        <w:pStyle w:val="TableofFigures"/>
      </w:pPr>
      <w:r>
        <w:t>Figure 3.3 AI Examination Routine Parsing &amp; Fuzzy Course Matching Flow</w:t>
        <w:tab/>
        <w:t>23</w:t>
      </w:r>
    </w:p>
    <w:p>
      <w:pPr>
        <w:pStyle w:val="TableofFigures"/>
      </w:pPr>
      <w:r>
        <w:t>Figure 3.4 300 DPI Document Preprocessing, Deskewing and Normalization Pipeline</w:t>
        <w:tab/>
        <w:t>24</w:t>
      </w:r>
    </w:p>
    <w:p>
      <w:pPr>
        <w:pStyle w:val="TableofFigures"/>
      </w:pPr>
      <w:r>
        <w:t>Figure 3.5 Hybrid Multi-Engine Optical Character Recognition (OCR) Cascade</w:t>
        <w:tab/>
        <w:t>25</w:t>
      </w:r>
    </w:p>
    <w:p>
      <w:pPr>
        <w:pStyle w:val="TableofFigures"/>
      </w:pPr>
      <w:r>
        <w:t>Figure 3.6 Question Boundary Discovery State Machine &amp; Spatial Mapping</w:t>
        <w:tab/>
        <w:t>26</w:t>
      </w:r>
    </w:p>
    <w:p>
      <w:pPr>
        <w:pStyle w:val="TableofFigures"/>
      </w:pPr>
      <w:r>
        <w:t>Figure 3.7 Automated AI Evaluation Wizard (v3.0) Operational Workflow</w:t>
        <w:tab/>
        <w:t>27</w:t>
      </w:r>
    </w:p>
    <w:p>
      <w:pPr>
        <w:pStyle w:val="TableofFigures"/>
      </w:pPr>
      <w:r>
        <w:t>Figure 3.8 Fast-Track Manual Script Grading Wizard Workflow</w:t>
        <w:tab/>
        <w:t>28</w:t>
      </w:r>
    </w:p>
    <w:p>
      <w:pPr>
        <w:pStyle w:val="TableofFigures"/>
      </w:pPr>
      <w:r>
        <w:t>Figure 3.9 Resilient Multi-Provider AI Evaluation Failover Architecture</w:t>
        <w:tab/>
        <w:t>29</w:t>
      </w:r>
    </w:p>
    <w:p>
      <w:pPr>
        <w:pStyle w:val="TableofFigures"/>
      </w:pPr>
      <w:r>
        <w:t>Figure 3.10 Interactive Split-Screen Teacher Evaluation Workbench Interface</w:t>
        <w:tab/>
        <w:t>31</w:t>
      </w:r>
    </w:p>
    <w:p>
      <w:pPr>
        <w:pStyle w:val="TableofFigures"/>
      </w:pPr>
      <w:r>
        <w:t>Figure 3.11 Teacher Override, Immutable Audit Trail &amp; Certified PDF Generation</w:t>
        <w:tab/>
        <w:t>32</w:t>
      </w:r>
    </w:p>
    <w:p>
      <w:pPr>
        <w:pStyle w:val="TableofFigures"/>
      </w:pPr>
      <w:r>
        <w:t>Figure 3.12 Real-Time Bi-Directional Course OBE Tabulation &amp; 8-Sheet Excel Engine</w:t>
        <w:tab/>
        <w:t>34</w:t>
      </w:r>
    </w:p>
    <w:p>
      <w:pPr>
        <w:pStyle w:val="TableofFigures"/>
      </w:pPr>
      <w:r>
        <w:t>Figure 3.13 Role-Based Academic Dashboards for Students and Department Heads</w:t>
        <w:tab/>
        <w:t>35</w:t>
      </w:r>
    </w:p>
    <w:p>
      <w:pPr>
        <w:pStyle w:val="TableofFigures"/>
        <w:sectPr w:rsidR="00422711" w:rsidRPr="005C774C" w:rsidSect="00DB681C">
          <w:pgSz w:w="12240" w:h="15840"/>
          <w:pgMar w:top="1440" w:right="1440" w:bottom="1440" w:left="1800" w:header="720" w:footer="720" w:gutter="0"/>
          <w:pgNumType w:fmt="lowerRoman"/>
          <w:cols w:space="720"/>
          <w:docGrid w:linePitch="360"/>
        </w:sectPr>
      </w:pPr>
      <w:r>
        <w:t>Figure 3.14 Asynchronous Multi-Threaded Institutional Email Notification Pipeline</w:t>
        <w:tab/>
        <w:t>36</w:t>
      </w:r>
    </w:p>
    <w:p>
      <w:pPr>
        <w:pStyle w:val="Heading2"/>
      </w:pPr>
      <w:r>
        <w:t>List of Tables</w:t>
      </w:r>
    </w:p>
    <w:p>
      <w:pPr>
        <w:pStyle w:val="TOC9"/>
      </w:pPr>
      <w:r>
        <w:t>Table 3.1 IntelliGrade Technology Stack &amp; Architectural Layer Specification</w:t>
        <w:tab/>
        <w:t>18</w:t>
      </w:r>
    </w:p>
    <w:p>
      <w:pPr>
        <w:pStyle w:val="TOC9"/>
      </w:pPr>
      <w:r>
        <w:t>Table 3.2 Core Relational Database Models, Fields, and Composite Index Matrix</w:t>
        <w:tab/>
        <w:t>21</w:t>
      </w:r>
    </w:p>
    <w:p>
      <w:pPr>
        <w:pStyle w:val="TOC9"/>
      </w:pPr>
      <w:r>
        <w:t>Table 3.3 23-Taxonomy IUBAT OBE Classification Fields &amp; Rubric Mark Distribution</w:t>
        <w:tab/>
        <w:t>30</w:t>
      </w:r>
    </w:p>
    <w:p>
      <w:pPr>
        <w:pStyle w:val="TOC9"/>
      </w:pPr>
      <w:r>
        <w:t>Table 3.4 IUBAT Assessment Policy, Course Weightage Distribution &amp; Grading Scale</w:t>
        <w:tab/>
        <w:t>33</w:t>
      </w:r>
    </w:p>
    <w:p>
      <w:pPr>
        <w:pStyle w:val="TOC9"/>
      </w:pPr>
      <w:r>
        <w:t>Table 3.5 Automated Test Suite Execution, Coverage &amp; Verification Results</w:t>
        <w:tab/>
        <w:t>37</w:t>
      </w:r>
    </w:p>
    <w:p>
      <w:pPr>
        <w:pStyle w:val="TOC9"/>
        <w:sectPr w:rsidR="00567AEA" w:rsidSect="00DB681C">
          <w:pgSz w:w="12240" w:h="15840"/>
          <w:pgMar w:top="1440" w:right="1440" w:bottom="1440" w:left="1800" w:header="720" w:footer="720" w:gutter="0"/>
          <w:pgNumType w:fmt="lowerRoman"/>
          <w:cols w:space="720"/>
          <w:docGrid w:linePitch="360"/>
        </w:sectPr>
      </w:pPr>
      <w:r>
        <w:t>Table 3.6 End-to-End Latency &amp; Performance Benchmark Matrix Across Infrastructure Tiers</w:t>
        <w:tab/>
        <w:t>38</w:t>
      </w:r>
    </w:p>
    <w:p>
      <w:pPr>
        <w:pStyle w:val="Heading2"/>
      </w:pPr>
      <w:r>
        <w:t>Chapter 1.</w:t>
      </w:r>
    </w:p>
    <w:p>
      <w:pPr>
        <w:pStyle w:val="Heading2"/>
      </w:pPr>
      <w:r>
        <w:t>Introduction</w:t>
      </w:r>
    </w:p>
    <w:p>
      <w:pPr>
        <w:pStyle w:val="Heading4"/>
      </w:pPr>
      <w:r>
        <w:t>1.1 Background of the Study</w:t>
      </w:r>
    </w:p>
    <w:p>
      <w:pPr>
        <w:pStyle w:val="BodyText"/>
      </w:pPr>
      <w:r>
        <w:t>Examination administration, script evaluation, and outcome-based academic reporting represent fundamental yet highly labor-intensive pillars of higher education governance. In conventional university environments, the examination lifecycle is governed by fragmented manual workflows: exam controllers prepare routine schedules on spreadsheets, faculty members manually author question papers with disconnected outcome mappings, and thousands of handwritten answer scripts are physically collected, sorted, and distributed to designated examiners.</w:t>
      </w:r>
    </w:p>
    <w:p>
      <w:pPr>
        <w:pStyle w:val="BodyText"/>
      </w:pPr>
      <w:r>
        <w:t>This traditional paper-based grading paradigm suffers from acute operational bottlenecks. Examiners tasked with evaluating dozens or hundreds of multi-page handwritten scripts inevitably experience severe cognitive fatigue. Cognitive grading fatigue introduces subjective evaluation variance, where the grading criteria applied to the first batch of scripts often diverge noticeably from the standards applied to the final scripts—a phenomenon widely recognized as grading drift. Furthermore, manual tallying of step-by-step marks across multiple questions is notoriously vulnerable to clerical and arithmetic errors, leading to contentious student re-evaluation petitions and delayed result publication.</w:t>
      </w:r>
    </w:p>
    <w:p>
      <w:pPr>
        <w:pStyle w:val="BodyText"/>
      </w:pPr>
      <w:r>
        <w:t>Compounding these evaluation bottlenecks is the global shift toward Outcome-Based Education (OBE), spearheaded by international quality frameworks such as the Washington Accord and the Board of Accreditation for Engineering and Technical Education (BAETE) in Bangladesh. Under OBE accreditation mandates, higher education institutions can no longer rely on simple aggregate percentage grades. Instead, universities must systematically measure and demonstrate each student's attainment across discrete Course Outcomes (CO1 to CO6) and overarching Program Outcomes (PO1 to PO12), covering technical knowledge profiles, complex engineering problems, and societal responsibilities.</w:t>
      </w:r>
    </w:p>
    <w:p>
      <w:pPr>
        <w:pStyle w:val="BodyText"/>
      </w:pPr>
      <w:r>
        <w:t>Calculating granular CO-PO attainment matrices manually across multiple continuous assessments (Class Tests, Midterms, Final Examinations, Assignments, and Attendance) requires complex weighted statistical computations that consume weeks of faculty time and remain prone to human error. Existing commercial Learning Management Systems (LMS) provide online multiple-choice grading or simple file dropboxes, but fail to address the complex reality of physical handwritten examinations in STEM disciplines, where mathematical derivations, circuit diagrams, and algorithmic pseudocode dominate.</w:t>
      </w:r>
    </w:p>
    <w:p>
      <w:pPr>
        <w:pStyle w:val="BodyText"/>
      </w:pPr>
      <w:r>
        <w:t>To resolve these systemic institutional challenges, this practicum introduces IntelliGrade: an end-to-end outcome-based examination management and intelligent script evaluation ecosystem. Engineered specifically for higher education institutions aligned with IUBAT and BAETE accreditation standards, IntelliGrade bridges the gap between traditional handwritten scripts and modern digital academic governance through a resilient, human-in-the-loop, AI-augmented evaluation architecture.</w:t>
      </w:r>
    </w:p>
    <w:p>
      <w:pPr>
        <w:pStyle w:val="Heading4"/>
      </w:pPr>
      <w:r>
        <w:t>1.2 Methodology</w:t>
      </w:r>
    </w:p>
    <w:p>
      <w:pPr>
        <w:pStyle w:val="BodyText"/>
      </w:pPr>
      <w:r>
        <w:t>The methodology employed to complete this practicum and develop the IntelliGrade ecosystem integrates empirical field research, institutional stakeholder analysis, state-of-the-art computer vision engineering, and iterative software development. Both primary and secondary data sources were systematically investigated as detailed below:</w:t>
      </w:r>
    </w:p>
    <w:p>
      <w:pPr>
        <w:pStyle w:val="Heading5"/>
      </w:pPr>
      <w:r>
        <w:t>1.2.1 Primary Sources.</w:t>
      </w:r>
    </w:p>
    <w:p>
      <w:pPr>
        <w:pStyle w:val="C-BodyText"/>
      </w:pPr>
      <w:r>
        <w:t>Primary data and institutional insights were gathered through direct stakeholder engagement and empirical laboratory experiments as follows:</w:t>
      </w:r>
    </w:p>
    <w:p>
      <w:pPr>
        <w:pStyle w:val="BulletedList"/>
      </w:pPr>
      <w:r>
        <w:t>Conducted structured in-depth interviews with university examination controllers, departmental chairpersons, and faculty members across the Department of Computer Science and Engineering at IUBAT to identify critical examination lifecycle bottlenecks.</w:t>
      </w:r>
    </w:p>
    <w:p>
      <w:pPr>
        <w:pStyle w:val="BulletedList"/>
      </w:pPr>
      <w:r>
        <w:t>Directly analyzed a testbed of over 750 pages of genuine handwritten examination scripts spanning multiple engineering courses (including CSE 4383: Computer Graphics and Animation, and CSC 411: Software Engineering) to capture real-world handwriting variations, margin annotations, and diagram placements.</w:t>
      </w:r>
    </w:p>
    <w:p>
      <w:pPr>
        <w:pStyle w:val="BulletedList"/>
      </w:pPr>
      <w:r>
        <w:t>Empirically benchmarked local optical character recognition (OCR) engines (PyTesseract, EasyOCR on CPU and GPU) and multimodal vision-language models (Local Moondream2, Groq Llama-3.3 70B, Google Gemini 2.5 Flash, and OpenAI GPT-4o) measuring inference latencies, rate-limit behaviors, and extraction accuracies.</w:t>
      </w:r>
    </w:p>
    <w:p>
      <w:pPr>
        <w:pStyle w:val="BulletedList"/>
      </w:pPr>
      <w:r>
        <w:t>Performed hands-on usability testing with course instructors navigating split-screen script verification, mark override workflows, and rubric criteria adjustments to optimize user experience and eliminate grading friction.</w:t>
      </w:r>
    </w:p>
    <w:p>
      <w:pPr>
        <w:pStyle w:val="Heading5"/>
      </w:pPr>
      <w:r>
        <w:t>1.2.2 Secondary Sources.</w:t>
      </w:r>
    </w:p>
    <w:p>
      <w:pPr>
        <w:pStyle w:val="C-BodyText"/>
      </w:pPr>
      <w:r>
        <w:t>Secondary research encompassed authoritative literature, academic accreditation standards, and technical specifications:</w:t>
      </w:r>
    </w:p>
    <w:p>
      <w:pPr>
        <w:pStyle w:val="BulletedList"/>
      </w:pPr>
      <w:r>
        <w:t>Reviewed IEEE, ACM, and Springer peer-reviewed publications on Automated Essay Scoring (AES), Optical Character Recognition (OCR), Handwritten Text Recognition (HTR), and Vision Transformers (ViT).</w:t>
      </w:r>
    </w:p>
    <w:p>
      <w:pPr>
        <w:pStyle w:val="BulletedList"/>
      </w:pPr>
      <w:r>
        <w:t>Studied the official accreditation criteria and manual published by the Board of Accreditation for Engineering and Technical Education (BAETE) under the Institution of Engineers, Bangladesh (IEB), conforming to the Washington Accord.</w:t>
      </w:r>
    </w:p>
    <w:p>
      <w:pPr>
        <w:pStyle w:val="BulletedList"/>
      </w:pPr>
      <w:r>
        <w:t>Analyzed official IUBAT examination policy guidelines, course evaluation rubrics, continuous assessment weightages (CT 10%, Midterm 25%, Final Exam 50%, Assignment 10%, Attendance 5%), and standard grading curves.</w:t>
      </w:r>
    </w:p>
    <w:p>
      <w:pPr>
        <w:pStyle w:val="BulletedList"/>
      </w:pPr>
      <w:r>
        <w:t>Consulted technical documentation for core software engineering frameworks including Django 5.2, Django REST Framework, PostgreSQL 16, PyMuPDF (fitz), ReportLab PDF Library, OpenCV, and openpyxl.</w:t>
      </w:r>
    </w:p>
    <w:p>
      <w:pPr>
        <w:pStyle w:val="Heading4"/>
      </w:pPr>
      <w:r>
        <w:t>1.3 Objectives</w:t>
      </w:r>
    </w:p>
    <w:p>
      <w:pPr>
        <w:pStyle w:val="BodyText"/>
      </w:pPr>
      <w:r>
        <w:t>The objectives of the IntelliGrade practicum project are divided into two categories: Broad Objective and Specific Objectives, as detailed below:</w:t>
      </w:r>
    </w:p>
    <w:p>
      <w:pPr>
        <w:pStyle w:val="Heading5"/>
      </w:pPr>
      <w:r>
        <w:t>1.3.1 Broad Objective.</w:t>
      </w:r>
    </w:p>
    <w:p>
      <w:pPr>
        <w:pStyle w:val="C-BodyText"/>
      </w:pPr>
      <w:r>
        <w:t>The overarching broad objective of this practicum is to design, architect, implement, and validate an enterprise-grade, outcome-based examination management and intelligent script evaluation platform that unifies university governance, AI-driven routine scheduling, 23-taxonomy OBE question authoring, 300 DPI script preprocessing, hybrid OCR boundary segmentation, multi-provider AI evaluation failover, interactive split-screen teacher verification, and real-time bi-directional course tabulation.</w:t>
      </w:r>
    </w:p>
    <w:p>
      <w:pPr>
        <w:pStyle w:val="Heading5"/>
      </w:pPr>
      <w:r>
        <w:t>1.3.2 Specific Objectives.</w:t>
      </w:r>
    </w:p>
    <w:p>
      <w:pPr>
        <w:pStyle w:val="C-BodyText"/>
      </w:pPr>
      <w:r>
        <w:t>The specific technical objectives accomplished in this practicum include:</w:t>
      </w:r>
    </w:p>
    <w:p>
      <w:pPr>
        <w:pStyle w:val="BulletedList"/>
      </w:pPr>
      <w:r>
        <w:t>To implement a multi-tier institutional governance portal featuring strict Role-Based Access Control (RBAC) with tailored workspaces for Chief Exam Controllers, Department Heads, Faculty Examiners, and Enrolled Students.</w:t>
      </w:r>
    </w:p>
    <w:p>
      <w:pPr>
        <w:pStyle w:val="BulletedList"/>
      </w:pPr>
      <w:r>
        <w:t>To develop an AI-powered multimodal examination routine parser capable of ingesting multi-page PDF/image schedules, performing table structure extraction, and achieving 0ms local course fuzzy matching for automated batch examination creation.</w:t>
      </w:r>
    </w:p>
    <w:p>
      <w:pPr>
        <w:pStyle w:val="BulletedList"/>
      </w:pPr>
      <w:r>
        <w:t>To design a 23-taxonomy Question Paper and Master Solution Studio that seamlessly captures Course Outcomes (CO1–CO6), Program Outcomes (PO1–PO12), Bloom's revised cognitive levels, Knowledge Profiles (KP), Complex Engineering Problems (CEP), diagrams, data tables, and LaTeX mathematical expressions.</w:t>
      </w:r>
    </w:p>
    <w:p>
      <w:pPr>
        <w:pStyle w:val="BulletedList"/>
      </w:pPr>
      <w:r>
        <w:t>To engineer a universal answer script preprocessing pipeline that renders documents at 300 DPI, executes OpenCV Hough deskewing and Otsu thresholding, and cascades across a hybrid OCR architecture (PyMuPDF glyph extraction -&gt; PyTesseract -&gt; EasyOCR deep learning).</w:t>
      </w:r>
    </w:p>
    <w:p>
      <w:pPr>
        <w:pStyle w:val="BulletedList"/>
      </w:pPr>
      <w:r>
        <w:t>To construct dual evaluation workbenches comprising an automated AI Evaluation Wizard (v3.0) with multi-provider failover (Local Moondream2 800px LANCZOS, Groq Llama-3.3 70B, Google Gemini 2.5 Flash, OpenRouter) and a Fast-Track Manual Grading Wizard offering instant PDF page slicing without AI/OCR overhead.</w:t>
      </w:r>
    </w:p>
    <w:p>
      <w:pPr>
        <w:pStyle w:val="BulletedList"/>
      </w:pPr>
      <w:r>
        <w:t>To build an interactive split-screen teacher verification workbench that pairs a high-resolution canvas viewer with rubric checklists, allowing instant mark overrides, custom feedback editing, immutable audit logging, and automated certified watermarked PDF script generation.</w:t>
      </w:r>
    </w:p>
    <w:p>
      <w:pPr>
        <w:pStyle w:val="BulletedList"/>
      </w:pPr>
      <w:r>
        <w:t>To implement a real-time bi-directional Course OBE Tabulation Engine that dynamically aggregates continuous assessment scores according to IUBAT weightages, generates 8-sheet Excel accreditation workbooks via openpyxl, and synchronizes live grade cards to student dashboards.</w:t>
      </w:r>
    </w:p>
    <w:p>
      <w:pPr>
        <w:pStyle w:val="Heading4"/>
      </w:pPr>
      <w:r>
        <w:t>1.4 Process Model</w:t>
      </w:r>
    </w:p>
    <w:p>
      <w:pPr>
        <w:pStyle w:val="BodyText"/>
      </w:pPr>
      <w:r>
        <w:t>To ensure systematic development, rapid adaptation to emerging AI model capabilities, and continuous alignment with faculty user requirements, the Agile Software Development Life Cycle (SDLC) following the Scrum framework was selected as the process model for IntelliGrade.</w:t>
      </w:r>
    </w:p>
    <w:p>
      <w:pPr>
        <w:pStyle w:val="BodyText"/>
      </w:pPr>
      <w:r>
        <w:t>The project was executed across seven iterative two-week sprints: Sprint 1 focused on domain analysis, PostgreSQL relational schema modeling, and composite B-tree indexing; Sprint 2 delivered multi-tier RBAC authentication and the AI exam routine parser; Sprint 3 implemented the 23-taxonomy Question Paper and Rubric Studio; Sprint 4 engineered the 300 DPI document preprocessor, hybrid OCR cascade, and regex question boundary detector; Sprint 5 constructed the dual evaluation wizards and multi-provider AI failover orchestrator; Sprint 6 developed the split-screen teacher verification workbench, ReportLab certified PDF stamper, and storage lifecycle manager; and Sprint 7 finalized real-time Course OBE Tabulation, openpyxl 8-sheet Excel export, and end-to-end integration testing.</w:t>
      </w:r>
    </w:p>
    <w:p>
      <w:pPr>
        <w:pStyle w:val="BodyText"/>
      </w:pPr>
      <w:r>
        <w:t>The Agile Scrum process model was chosen over traditional Waterfall models for several critical technical reasons:</w:t>
      </w:r>
    </w:p>
    <w:p>
      <w:pPr>
        <w:pStyle w:val="BodyText"/>
      </w:pPr>
      <w:r>
        <w:t>1. Evolving AI Model Interfaces: Multimodal vision and language model APIs evolve rapidly. Agile iterations allowed seamless integration and benchmarking of diverse providers (Ollama Moondream, Groq LPU, Gemini 2.5 Flash) without disrupting core architectural contracts.</w:t>
      </w:r>
    </w:p>
    <w:p>
      <w:pPr>
        <w:pStyle w:val="BodyText"/>
      </w:pPr>
      <w:r>
        <w:t>2. Continuous Examiner Feedback: Early sprint releases of the grading interface enabled university faculty members to test the split-screen canvas, resulting in immediate UX refinements such as pan/zoom controls, keyboard shortcuts, and zero-AI manual fallback modes.</w:t>
      </w:r>
    </w:p>
    <w:p>
      <w:pPr>
        <w:pStyle w:val="BodyText"/>
      </w:pPr>
      <w:r>
        <w:t>3. Incremental Risk Mitigation: Developing complex subsystems incrementally—such as validating the regex question boundary detector before building the full evaluation wizard—prevented architectural deadlocks and ensured early bug discovery.</w:t>
      </w:r>
    </w:p>
    <w:p>
      <w:pPr>
        <w:pStyle w:val="BodyText"/>
      </w:pPr>
      <w:r>
        <w:t>4. Test-Driven Verification: Each sprint incorporated comprehensive automated test suites (Django TestCase and mock API runners), ensuring 100% test pass rates and zero system regressions throughout development.</w:t>
      </w:r>
    </w:p>
    <w:p>
      <w:pPr>
        <w:pStyle w:val="Heading4"/>
      </w:pPr>
      <w:r>
        <w:t>1.5 Feasibility Study</w:t>
      </w:r>
    </w:p>
    <w:p>
      <w:pPr>
        <w:pStyle w:val="BodyText"/>
      </w:pPr>
      <w:r>
        <w:t>Before commencing full-scale architectural implementation, a comprehensive feasibility study was conducted across technical, economic, and operational dimensions. The proposed IntelliGrade ecosystem demonstrated complete viability across all three areas as detailed below:</w:t>
      </w:r>
    </w:p>
    <w:p>
      <w:pPr>
        <w:pStyle w:val="Heading5"/>
      </w:pPr>
      <w:r>
        <w:t>1.5.1 Technical Feasibility.</w:t>
      </w:r>
    </w:p>
    <w:p>
      <w:pPr>
        <w:pStyle w:val="C-BodyText"/>
      </w:pPr>
      <w:r>
        <w:t>The technical feasibility of IntelliGrade is firmly established through the maturity and interoperability of modern open-source software and artificial intelligence frameworks:</w:t>
      </w:r>
    </w:p>
    <w:p>
      <w:pPr>
        <w:pStyle w:val="BulletedList"/>
      </w:pPr>
      <w:r>
        <w:t>Robust Backend &amp; Persistence: Python 3.11+ and Django 5.2 provide an enterprise-grade Model-View-Template (MVT) architecture with an advanced ORM capable of executing composite indexing and eager relation prefetching (select_related and prefetch_related) to eliminate N+1 query bottlenecks.</w:t>
      </w:r>
    </w:p>
    <w:p>
      <w:pPr>
        <w:pStyle w:val="BulletedList"/>
      </w:pPr>
      <w:r>
        <w:t>High-Performance Document Processing: PyMuPDF (fitz) delivers millisecond-level 300 DPI PDF rasterization and native glyph mapping, while OpenCV provides proven mathematical transformations for image deskewing and adaptive thresholding.</w:t>
      </w:r>
    </w:p>
    <w:p>
      <w:pPr>
        <w:pStyle w:val="BulletedList"/>
      </w:pPr>
      <w:r>
        <w:t>Hybrid AI &amp; OCR Fallback: The combination of PyTesseract for printed text, EasyOCR for deep-learning handwriting detection, and a multi-provider AI failover chain (Local Moondream, Groq Llama-3.3, Google Gemini) ensures high-accuracy evaluation even during cloud API outages or rate-limit exhaustion.</w:t>
      </w:r>
    </w:p>
    <w:p>
      <w:pPr>
        <w:pStyle w:val="BulletedList"/>
      </w:pPr>
      <w:r>
        <w:t>Hardware Accessibility: The system is designed to execute efficiently on standard university server hardware (multi-core CPUs), utilizing lightweight quantized local vision models (800px LANCZOS downsampling) and asynchronous non-blocking background threads for SMTP dispatch.</w:t>
      </w:r>
    </w:p>
    <w:p>
      <w:pPr>
        <w:pStyle w:val="Heading5"/>
      </w:pPr>
      <w:r>
        <w:t>1.5.2 Economic Feasibility.</w:t>
      </w:r>
    </w:p>
    <w:p>
      <w:pPr>
        <w:pStyle w:val="C-BodyText"/>
      </w:pPr>
      <w:r>
        <w:t>IntelliGrade is exceptionally viable from an economic perspective, delivering substantial cost advantages and rapid return on investment:</w:t>
      </w:r>
    </w:p>
    <w:p>
      <w:pPr>
        <w:pStyle w:val="BulletedList"/>
      </w:pPr>
      <w:r>
        <w:t>Minimal Software Licensing Costs: The core infrastructure is built entirely upon battle-tested open-source software (Python, Django, PostgreSQL, PyMuPDF, ReportLab, openpyxl, TailwindCSS), requiring zero proprietary software licensing fees.</w:t>
      </w:r>
    </w:p>
    <w:p>
      <w:pPr>
        <w:pStyle w:val="BulletedList"/>
      </w:pPr>
      <w:r>
        <w:t>Cost-Effective AI Operations: By implementing local offline vision (Moondream2 / Ollama) as the primary provider, script evaluation incurs zero API token costs. When using high-speed cloud providers like Groq or Gemini Flash, the cost per script is less than $0.0001, representing negligible operational overhead.</w:t>
      </w:r>
    </w:p>
    <w:p>
      <w:pPr>
        <w:pStyle w:val="BulletedList"/>
      </w:pPr>
      <w:r>
        <w:t>Dramatic Labor Cost Savings: Traditional manual evaluation of 60 multi-page scripts consumes approximately 14 hours of highly paid faculty time. IntelliGrade accelerates this process to under 30 minutes of verification, saving hundreds of institutional man-hours per semester and eliminating costs associated with paper storage and physical logistics.</w:t>
      </w:r>
    </w:p>
    <w:p>
      <w:pPr>
        <w:pStyle w:val="Heading5"/>
      </w:pPr>
      <w:r>
        <w:t>1.5.3 Operational Feasibility.</w:t>
      </w:r>
    </w:p>
    <w:p>
      <w:pPr>
        <w:pStyle w:val="C-BodyText"/>
      </w:pPr>
      <w:r>
        <w:t>The operational feasibility of IntelliGrade is verified by its user-centric design and alignment with existing institutional policies:</w:t>
      </w:r>
    </w:p>
    <w:p>
      <w:pPr>
        <w:pStyle w:val="BulletedList"/>
      </w:pPr>
      <w:r>
        <w:t>Zero Machine Learning Learning-Curve: The web-based user interface is intuitive and requires no technical machine learning expertise from faculty members. Familiar workflows—uploading scripts, checking bounding boxes, and clicking approval buttons—ensure rapid institutional adoption.</w:t>
      </w:r>
    </w:p>
    <w:p>
      <w:pPr>
        <w:pStyle w:val="BulletedList"/>
      </w:pPr>
      <w:r>
        <w:t>Preservation of Faculty Autonomy: IntelliGrade operates strictly as a Human-in-the-Loop copilot. The AI engine only suggests scores and diagnostic comments; teachers retain full authority to override marks, edit feedback, and finalize grades, ensuring complete academic trust.</w:t>
      </w:r>
    </w:p>
    <w:p>
      <w:pPr>
        <w:pStyle w:val="BulletedList"/>
      </w:pPr>
      <w:r>
        <w:t>Direct Regulatory Compliance: The tabulation engine implements standard IUBAT grading policies and BAETE outcome formulas directly, producing familiar 8-sheet Excel spreadsheets that seamlessly integrate into existing departmental accreditation records.</w:t>
      </w:r>
    </w:p>
    <w:p>
      <w:pPr>
        <w:pStyle w:val="Heading4"/>
      </w:pPr>
      <w:r>
        <w:t>1.6 Structure of the Report</w:t>
      </w:r>
    </w:p>
    <w:p>
      <w:pPr>
        <w:pStyle w:val="BodyText"/>
      </w:pPr>
      <w:r>
        <w:t>This practicum report is organized into four major chapters and supplementary sections, structured systematically to provide an exhaustive technical account of the project:</w:t>
      </w:r>
    </w:p>
    <w:p>
      <w:pPr>
        <w:pStyle w:val="BodyText"/>
      </w:pPr>
      <w:r>
        <w:t>Chapter 1: Introduction establishes the background, institutional problem statement, research methodologies, broad and specific objectives, Agile Scrum process model, and comprehensive three-dimensional feasibility study.</w:t>
      </w:r>
    </w:p>
    <w:p>
      <w:pPr>
        <w:pStyle w:val="BodyText"/>
      </w:pPr>
      <w:r>
        <w:t>Chapter 2: Organizational Overview presents an in-depth profile of IUBAT and the Department of Computer Science and Engineering, detailing institutional vision, mission, academic services, governance organogram, the author's role as Lead Systems Architect, and official organizational contact information.</w:t>
      </w:r>
    </w:p>
    <w:p>
      <w:pPr>
        <w:pStyle w:val="BodyText"/>
      </w:pPr>
      <w:r>
        <w:t>Chapter 3: Methods, System Design and Implementation constitutes the technical core of the report. It details stakeholder requirements, functional and non-functional specifications, multi-tier system architecture, relational database models and composite indexing, 300 DPI image preprocessing, hybrid OCR cascades, dual evaluation wizards, multi-provider AI failovers, split-screen teacher workbenches, real-time 8-sheet OBE tabulation, test coverage verification, and latency benchmarks.</w:t>
      </w:r>
    </w:p>
    <w:p>
      <w:pPr>
        <w:pStyle w:val="BodyText"/>
      </w:pPr>
      <w:r>
        <w:t>Chapter 4: Conclusion &amp; Future Work synthesizes project achievements, highlights institutional contributions to academic governance and accreditation, evaluates system constraints, and presents an architectural development roadmap.</w:t>
      </w:r>
    </w:p>
    <w:p>
      <w:pPr>
        <w:pStyle w:val="BodyText"/>
        <w:sectPr w:rsidR="00E65EC8" w:rsidSect="00E65EC8">
          <w:headerReference w:type="default" r:id="rId16"/>
          <w:footerReference w:type="default" r:id="rId17"/>
          <w:headerReference w:type="first" r:id="rId18"/>
          <w:footerReference w:type="first" r:id="rId19"/>
          <w:pgSz w:w="12240" w:h="15840"/>
          <w:pgMar w:top="1440" w:right="1440" w:bottom="1440" w:left="1800" w:header="720" w:footer="720" w:gutter="0"/>
          <w:pgNumType w:start="1"/>
          <w:cols w:space="720"/>
          <w:titlePg/>
          <w:docGrid w:linePitch="360"/>
        </w:sectPr>
      </w:pPr>
      <w:r>
        <w:t>References and Plagiarism Report provide an exhaustive list of academic citations conforming to Harvard Referencing standards, followed by the institutional academic integrity declaration.</w:t>
      </w:r>
    </w:p>
    <w:p>
      <w:pPr>
        <w:pStyle w:val="Heading2"/>
      </w:pPr>
      <w:r>
        <w:t>Chapter 2.</w:t>
      </w:r>
    </w:p>
    <w:p>
      <w:pPr>
        <w:pStyle w:val="Heading2"/>
      </w:pPr>
      <w:r>
        <w:t>Organizational Overview</w:t>
      </w:r>
    </w:p>
    <w:p>
      <w:pPr>
        <w:pStyle w:val="BodyText"/>
      </w:pPr>
      <w:r>
        <w:t>This chapter presents a comprehensive overview of the host academic institution, the International University of Business Agriculture and Technology (IUBAT), and the Department of Computer Science and Engineering, within which the IntelliGrade practicum project was engineered. Established in 1991 as the first non-government university in Bangladesh under the visionary leadership of Prof. Dr. M. Alimullah Miyan, IUBAT is dedicated to human resource development through quality education, applied research, and community empowerment.</w:t>
      </w:r>
    </w:p>
    <w:p>
      <w:pPr>
        <w:pStyle w:val="Heading4"/>
      </w:pPr>
      <w:r>
        <w:t>2.1 Organization Vision</w:t>
      </w:r>
    </w:p>
    <w:p>
      <w:pPr>
        <w:pStyle w:val="BodyText"/>
      </w:pPr>
      <w:r>
        <w:t>The vision of IUBAT is to produce skilled, socially responsible, innovative, and ethically grounded graduates who are equipped to lead technological, economic, and social transformation in Bangladesh and globally. Within this institutional vision, the Department of Computer Science and Engineering aspires to be a premier center of computing education and applied software engineering, renowned for academic excellence, cutting-edge research, and technological contributions aligned with international standards.</w:t>
      </w:r>
    </w:p>
    <w:p>
      <w:pPr>
        <w:pStyle w:val="Heading4"/>
      </w:pPr>
      <w:r>
        <w:t>2.2 Organization Mission</w:t>
      </w:r>
    </w:p>
    <w:p>
      <w:pPr>
        <w:pStyle w:val="BodyText"/>
      </w:pPr>
      <w:r>
        <w:t>The mission of the Department of Computer Science and Engineering at IUBAT encompasses three fundamental mandates: (1) To deliver comprehensive, outcome-based undergraduate and graduate computing curricula that satisfy rigorous international accreditation standards, specifically the Board of Accreditation for Engineering and Technical Education (BAETE) under the Washington Accord; (2) To foster applied technological research and software innovation addressing real-world societal and institutional challenges; and (3) To cultivate leadership, ethical integrity, and continuous lifelong learning among engineering graduates to meet dynamic global industry demands.</w:t>
      </w:r>
    </w:p>
    <w:p>
      <w:pPr>
        <w:pStyle w:val="Heading4"/>
      </w:pPr>
      <w:r>
        <w:t>2.3 Organization Services</w:t>
      </w:r>
    </w:p>
    <w:p>
      <w:pPr>
        <w:pStyle w:val="BodyText"/>
      </w:pPr>
      <w:r>
        <w:t>The Department of Computer Science and Engineering, operating under the College of Engineering and Technology (CEAT), provides a diverse portfolio of academic and technological services:</w:t>
      </w:r>
    </w:p>
    <w:p>
      <w:pPr>
        <w:pStyle w:val="BodyText"/>
      </w:pPr>
      <w:r>
        <w:t>1. Academic Degree Programs: The department offers the Bachelor of Computer Science and Engineering (BCSE) degree program, structured across twelve semesters with specialized concentrations in Software Engineering, Artificial Intelligence and Machine Learning, Cybersecurity, and Network Systems.</w:t>
      </w:r>
    </w:p>
    <w:p>
      <w:pPr>
        <w:pStyle w:val="BodyText"/>
      </w:pPr>
      <w:r>
        <w:t>2. Academic Computing &amp; Institutional Automation: The department pioneers software automation initiatives for university governance, including examination scheduling, student registration, outcome-based curriculum mapping, and automated grading systems such as IntelliGrade.</w:t>
      </w:r>
    </w:p>
    <w:p>
      <w:pPr>
        <w:pStyle w:val="BodyText"/>
      </w:pPr>
      <w:r>
        <w:t>3. Research and Innovation Laboratories: The department houses state-of-the-art computing laboratories dedicated to Artificial Intelligence, Computer Vision, Internet of Things (IoT), and High-Performance Software Systems.</w:t>
      </w:r>
    </w:p>
    <w:p>
      <w:pPr>
        <w:pStyle w:val="BodyText"/>
      </w:pPr>
      <w:r>
        <w:t>4. Industry-Academia Linkage &amp; Practicum: The department orchestrates formal practicum and internship programs connecting undergraduate engineering students with software enterprises and internal university development cells to deliver production-ready software solutions.</w:t>
      </w:r>
    </w:p>
    <w:p>
      <w:pPr>
        <w:pStyle w:val="Heading4"/>
      </w:pPr>
      <w:r>
        <w:t>2.4 Organizational Structure</w:t>
      </w:r>
    </w:p>
    <w:p>
      <w:pPr>
        <w:pStyle w:val="BodyText"/>
      </w:pPr>
      <w:r>
        <w:t>The administrative and academic governance of IUBAT operates through a well-defined hierarchical framework designed to ensure academic quality, operational efficiency, and institutional compliance. Executive authority resides with the Board of Trustees and the Vice-Chancellor, who oversee academic affairs in coordination with the Pro-Vice-Chancellor and the Dean of the College of Engineering and Technology (CEAT).</w:t>
      </w:r>
    </w:p>
    <w:p>
      <w:pPr>
        <w:pStyle w:val="BodyText"/>
      </w:pPr>
      <w:r>
        <w:t>Within CEAT, the Department of Computer Science and Engineering is led by the Department Chairman, who oversees curriculum design, faculty administration, and academic standards. Specific functional areas are coordinated by specialized committees, including the Practicum Defense Committee, Academic Quality Assurance Committee, and Software Development Cells. The student software engineering team operates within this structure, reporting directly to the Practicum Coordinator and designated Faculty Supervisors as illustrated in Figure 2.1.</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2.1</w:t>
            </w:r>
          </w:p>
          <w:p>
            <w:pPr/>
            <w:r>
              <w:rPr>
                <w:b/>
              </w:rPr>
              <w:t xml:space="preserve">• Target Visual Asset: </w:t>
            </w:r>
            <w:r>
              <w:t>Organizational hierarchy flowchart and department organogram diagram</w:t>
            </w:r>
          </w:p>
          <w:p>
            <w:pPr/>
            <w:r>
              <w:rPr>
                <w:b/>
              </w:rPr>
              <w:t xml:space="preserve">• Project Reference / Path: </w:t>
            </w:r>
            <w:r>
              <w:t>Institutional administrative structure of IUBAT / Department of CSE</w:t>
            </w:r>
          </w:p>
          <w:p>
            <w:pPr/>
            <w:r>
              <w:rPr>
                <w:b/>
              </w:rPr>
              <w:t xml:space="preserve">• Dimensions &amp; Alignment: </w:t>
            </w:r>
            <w:r>
              <w:t>Width: 6.0 in, Height: 3.5 in, Resolution: 300 DPI, Centered</w:t>
            </w:r>
          </w:p>
          <w:p>
            <w:pPr/>
            <w:r>
              <w:rPr>
                <w:b/>
                <w:color w:val="B45309"/>
              </w:rPr>
              <w:t xml:space="preserve">• Review Comment: </w:t>
            </w:r>
            <w:r>
              <w:t>Insert Figure 2.1 here: Organogram diagram showing hierarchy from Vice-Chancellor to CEAT Dean, CSE Department Chairman, Practicum Coordinator, and Practicum Trainee.</w:t>
            </w:r>
          </w:p>
        </w:tc>
      </w:tr>
    </w:tbl>
    <w:p>
      <w:pPr>
        <w:pStyle w:val="FigureCell"/>
        <w:jc w:val="center"/>
      </w:pPr>
      <w:commentRangeStart w:id="0"/>
      <w:r>
        <w:rPr>
          <w:rFonts w:ascii="Times New Roman" w:hAnsi="Times New Roman"/>
          <w:b/>
          <w:sz w:val="22"/>
        </w:rPr>
        <w:t>Figure 2.1: Organizational Structure of IUBAT and IntelliGrade Practicum Engineering Cell</w:t>
      </w:r>
      <w:commentRangeEnd w:id="0"/>
      <w:r>
        <w:rPr>
          <w:rStyle w:val="CommentReference"/>
        </w:rPr>
        <w:commentReference w:id="0"/>
      </w:r>
    </w:p>
    <w:p>
      <w:pPr>
        <w:pStyle w:val="FigureDescription"/>
      </w:pPr>
      <w:r>
        <w:t>Figure 2.1 illustrates the academic and administrative governance hierarchy of IUBAT, depicting the organizational reporting chain from university executive leadership down to the Department of Computer Science and Engineering and the student software engineering role within the IntelliGrade project cell.</w:t>
      </w:r>
    </w:p>
    <w:p>
      <w:pPr>
        <w:pStyle w:val="Heading4"/>
      </w:pPr>
      <w:r>
        <w:t>2.5 My Position in this Organization</w:t>
      </w:r>
    </w:p>
    <w:p>
      <w:pPr>
        <w:pStyle w:val="BodyText"/>
      </w:pPr>
      <w:r>
        <w:t>Throughout the duration of this practicum, my working position was Lead Software Systems Architect and Full-Stack AI Engineer within the Department of Computer Science and Engineering's software engineering practicum development cell.</w:t>
      </w:r>
    </w:p>
    <w:p>
      <w:pPr>
        <w:pStyle w:val="BodyText"/>
      </w:pPr>
      <w:r>
        <w:t>In this capacity, my core responsibilities encompassed: (1) Formulating the comprehensive system architecture and domain relational schemas; (2) Engineering the hybrid optical character recognition (OCR) and computer vision document preprocessing pipelines; (3) Implementing multi-provider multimodal AI failover orchestrators connecting local and cloud vision-language models; (4) Designing the split-screen teacher verification workbench and dynamic ReportLab PDF certification services; (5) Implementing the real-time bi-directional Course OBE Tabulation engine and openpyxl 8-sheet Excel reporting modules; and (6) Conducting exhaustive system testing, capacity benchmarking, and academic documentation conforming to IUBAT and BAETE standards.</w:t>
      </w:r>
    </w:p>
    <w:p>
      <w:pPr>
        <w:pStyle w:val="Heading4"/>
      </w:pPr>
      <w:r>
        <w:t>2.6 Address of the Organization</w:t>
      </w:r>
    </w:p>
    <w:p>
      <w:pPr>
        <w:pStyle w:val="BodyText"/>
      </w:pPr>
      <w:r>
        <w:t>The official physical and institutional address of the host organization is:</w:t>
      </w:r>
    </w:p>
    <w:p>
      <w:pPr>
        <w:pStyle w:val="BodyText"/>
        <w:sectPr w:rsidR="00A151B0" w:rsidSect="00DB681C">
          <w:pgSz w:w="12240" w:h="15840"/>
          <w:pgMar w:top="1440" w:right="1440" w:bottom="1440" w:left="1800" w:header="720" w:footer="720" w:gutter="0"/>
          <w:cols w:space="720"/>
          <w:titlePg/>
          <w:docGrid w:linePitch="360"/>
        </w:sectPr>
      </w:pPr>
      <w:r>
        <w:t>Department of Computer Science and Engineering</w:t>
        <w:br/>
        <w:t>College of Engineering and Technology</w:t>
        <w:br/>
        <w:t>IUBAT—International University of Business Agriculture and Technology</w:t>
        <w:br/>
        <w:t>4 Embankment Drive Road, Sector 10, Uttara Model Town</w:t>
        <w:br/>
        <w:t>Dhaka 1230, Bangladesh.</w:t>
        <w:br/>
        <w:t>Website: https://www.iubat.edu | Email: info@iubat.edu</w:t>
      </w:r>
    </w:p>
    <w:p>
      <w:pPr>
        <w:pStyle w:val="Heading2"/>
      </w:pPr>
      <w:r>
        <w:t>Chapter 3.</w:t>
      </w:r>
    </w:p>
    <w:p>
      <w:pPr>
        <w:pStyle w:val="Heading2"/>
      </w:pPr>
      <w:r>
        <w:t>Methods</w:t>
      </w:r>
    </w:p>
    <w:p>
      <w:pPr>
        <w:pStyle w:val="BodyText"/>
      </w:pPr>
      <w:r>
        <w:t>This chapter provides a rigorous, in-depth technical analysis of the design, architectural engineering, and full-scale implementation of IntelliGrade. It covers stakeholder requirements, multi-tier system architecture, database schema design with composite B-tree indexes, the 300 DPI document preprocessing pipeline, the hybrid OCR cascade, dual evaluation workbenches (AI Wizard v3.0 and Fast-Track Manual), multi-provider AI failover with rate-limit cooldown registries, the split-screen verification workbench, certified watermarked PDF generation, real-time bi-directional Course OBE Tabulation, and comprehensive automated test coverage and latency benchmarking.</w:t>
      </w:r>
    </w:p>
    <w:p>
      <w:pPr>
        <w:pStyle w:val="Heading4"/>
      </w:pPr>
      <w:r>
        <w:t>3.1 Software Requirements Analysis &amp; Specification</w:t>
      </w:r>
    </w:p>
    <w:p>
      <w:pPr>
        <w:pStyle w:val="BodyText"/>
      </w:pPr>
      <w:r>
        <w:t>The requirements engineering phase established the functional boundaries, behavioral constraints, and quality attributes necessary to construct an enterprise-grade academic evaluation ecosystem.</w:t>
      </w:r>
    </w:p>
    <w:p>
      <w:pPr>
        <w:pStyle w:val="BodyText"/>
      </w:pPr>
      <w:r>
        <w:t>3.1.1 Stakeholder Analysis &amp; User Classes: IntelliGrade serves four distinct institutional user classes, each protected by dedicated Role-Based Access Control (RBAC) decorators: (1) Chief Exam Controller (ADMIN) who exercises system-wide governance over colleges, schools, departments, courses, faculty allocations, student admission approvals, AI infrastructure configurations, and exam routine scanning; (2) Department Head (DEPT_HEAD) who exercises academic oversight, monitoring real-time departmental pass rates, faculty evaluation progress, and OBE course tabulation compliance; (3) Faculty Member / Examiner (TEACHER) who authors 23-taxonomy OBE question rubrics, uploads student script batches, validates AI evaluations on the split-screen workbench, overrides marks, and manages course tabulations; and (4) Enrolled Student (STUDENT) who accesses published grades, question-wise diagnostic feedback, and certified watermarked PDF scripts.</w:t>
      </w:r>
    </w:p>
    <w:p>
      <w:pPr>
        <w:pStyle w:val="BodyText"/>
      </w:pPr>
      <w:r>
        <w:t>3.1.2 Functional Requirements Catalog: A total of 36 specific functional requirements (FR-01 through FR-36) were implemented across seven functional clusters: Authentication and Role Security (FR-01 to FR-05); AI Routine Ingestion and Scheduling (FR-06 to FR-10); 23-Taxonomy Question Paper and Master Solution Studio (FR-11 to FR-15); Universal Script Preprocessing, Hybrid OCR, and Boundary Mapping (FR-16 to FR-20); Dual Evaluation Pipelines and Multimodal AI Failover (FR-21 to FR-25, FR-34); Split-Screen Teacher Verification Workbench and Certified Stamping (FR-26 to FR-28, FR-35, FR-36); and Real-Time Course OBE Tabulation and Automated Email Dissemination (FR-29 to FR-33).</w:t>
      </w:r>
    </w:p>
    <w:p>
      <w:pPr>
        <w:pStyle w:val="BodyText"/>
      </w:pPr>
      <w:r>
        <w:t>3.1.3 Non-Functional Requirements: The system enforces ten rigorous non-functional requirements (NFR-01 to NFR-10): Sub-second API response times for workbench interactions (NFR-01); High-throughput script ingestion processing up to 50 simultaneous PDF uploads (NFR-02); Zero-downtime AI failover maintaining continuous grading through 429 quota exhaustion events (NFR-03); Cryptographic password hashing utilizing Argon2 and PBKDF2 with SHA-256 (NFR-04); Eager-loaded relational queries eliminating N+1 database leaks (NFR-05); Storage lifecycle management automatically purging temporary working image copies upon PDF finalization (NFR-06); Cross-browser compatibility across Chrome, Firefox, Safari, and Edge (NFR-07); Strict conformity to IUBAT assessment policy and BAETE accreditation standards (NFR-08); Non-blocking asynchronous SMTP dispatch preventing HTTP request stalls (NFR-09); and 100% test coverage across core functional modules (NFR-10).</w:t>
      </w:r>
    </w:p>
    <w:p>
      <w:pPr>
        <w:pStyle w:val="BodyText"/>
      </w:pPr>
      <w:r>
        <w:t>3.1.4 Domain Entity Architecture &amp; Class Modeling: The conceptual domain model was engineered to reflect university organizational hierarchies and complex examination lifecycles. Figure 3.1 illustrates the domain entities, primary attributes, and relational multiplicities connecting institutional governance with examination evaluation.</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3.1</w:t>
            </w:r>
          </w:p>
          <w:p>
            <w:pPr/>
            <w:r>
              <w:rPr>
                <w:b/>
              </w:rPr>
              <w:t xml:space="preserve">• Target Visual Asset: </w:t>
            </w:r>
            <w:r>
              <w:t>UML Class Diagram showing core domain models and relational cardinality</w:t>
            </w:r>
          </w:p>
          <w:p>
            <w:pPr/>
            <w:r>
              <w:rPr>
                <w:b/>
              </w:rPr>
              <w:t xml:space="preserve">• Project Reference / Path: </w:t>
            </w:r>
            <w:r>
              <w:t>docs/01-requirements/04-requirement-analysis.md (Domain Modeling Diagram)</w:t>
            </w:r>
          </w:p>
          <w:p>
            <w:pPr/>
            <w:r>
              <w:rPr>
                <w:b/>
              </w:rPr>
              <w:t xml:space="preserve">• Dimensions &amp; Alignment: </w:t>
            </w:r>
            <w:r>
              <w:t>Width: 6.2 in, Height: 4.0 in, Resolution: 300 DPI, Centered</w:t>
            </w:r>
          </w:p>
          <w:p>
            <w:pPr/>
            <w:r>
              <w:rPr>
                <w:b/>
                <w:color w:val="B45309"/>
              </w:rPr>
              <w:t xml:space="preserve">• Review Comment: </w:t>
            </w:r>
            <w:r>
              <w:t>Insert Figure 3.1 here: UML Class diagram illustrating College, School, Department, Course, Examination, Question, Rubric, StudentSubmission, EvaluationResult, and CourseTabulation.</w:t>
            </w:r>
          </w:p>
        </w:tc>
      </w:tr>
    </w:tbl>
    <w:p>
      <w:pPr>
        <w:pStyle w:val="FigureCell"/>
        <w:jc w:val="center"/>
      </w:pPr>
      <w:commentRangeStart w:id="1"/>
      <w:r>
        <w:rPr>
          <w:rFonts w:ascii="Times New Roman" w:hAnsi="Times New Roman"/>
          <w:b/>
          <w:sz w:val="22"/>
        </w:rPr>
        <w:t>Figure 3.1: Domain Entity Architecture &amp; Relational Class Diagram</w:t>
      </w:r>
      <w:commentRangeEnd w:id="1"/>
      <w:r>
        <w:rPr>
          <w:rStyle w:val="CommentReference"/>
        </w:rPr>
        <w:commentReference w:id="1"/>
      </w:r>
    </w:p>
    <w:p>
      <w:pPr>
        <w:pStyle w:val="FigureDescription"/>
      </w:pPr>
      <w:r>
        <w:t>Figure 3.1 depicts the domain class model of IntelliGrade, capturing primary entities, core attributes, relational multiplicities, and foreign-key constraints governing academic structures, rubrics, submissions, and course tabulations.</w:t>
      </w:r>
    </w:p>
    <w:p>
      <w:pPr>
        <w:pStyle w:val="Heading4"/>
      </w:pPr>
      <w:r>
        <w:t>3.2 System Architecture &amp; Technology Stack</w:t>
      </w:r>
    </w:p>
    <w:p>
      <w:pPr>
        <w:pStyle w:val="BodyText"/>
      </w:pPr>
      <w:r>
        <w:t>3.2.1 High-Level Multi-Tier System Architecture: IntelliGrade is structured as a decoupled multi-tier architecture uniting administrative governance, computer vision preprocessing, multimodal AI inference, and real-time tabulation reporting. The architecture comprises five cohesive functional layers: (1) The Presentation &amp; Interaction Tier delivering responsive web interfaces and dynamic split-screen canvases via HTML5, TailwindCSS, and Vanilla JavaScript; (2) The Application &amp; Business Logic Tier powered by Django 5.2 and Django REST Framework, managing RBAC decorators, exam workflows, and scoring algorithms; (3) The Computer Vision &amp; Document Processing Tier executing 300 DPI rasterization, OpenCV Hough deskewing, Otsu thresholding, and hybrid OCR (PyMuPDF, PyTesseract, EasyOCR); (4) The Multimodal AI Orchestration Tier hosting the TaskRouter failover cascade across local and cloud providers; and (5) The Persistence &amp; Reporting Tier housing PostgreSQL with composite B-tree indexes, ReportLab PDF generators, and openpyxl 8-sheet Excel builders.</w:t>
      </w:r>
    </w:p>
    <w:p>
      <w:pPr>
        <w:pStyle w:val="BodyText"/>
      </w:pPr>
      <w:r>
        <w:t>Figure 3.2 illustrates the end-to-end multi-tier system architecture and the data flow interconnecting all subsystems.</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3.2</w:t>
            </w:r>
          </w:p>
          <w:p>
            <w:pPr/>
            <w:r>
              <w:rPr>
                <w:b/>
              </w:rPr>
              <w:t xml:space="preserve">• Target Visual Asset: </w:t>
            </w:r>
            <w:r>
              <w:t>High-level end-to-end system architecture blueprint</w:t>
            </w:r>
          </w:p>
          <w:p>
            <w:pPr/>
            <w:r>
              <w:rPr>
                <w:b/>
              </w:rPr>
              <w:t xml:space="preserve">• Project Reference / Path: </w:t>
            </w:r>
            <w:r>
              <w:t>docs/MASTER_SYSTEM_REPORT.md (System Executive Blueprint Diagram)</w:t>
            </w:r>
          </w:p>
          <w:p>
            <w:pPr/>
            <w:r>
              <w:rPr>
                <w:b/>
              </w:rPr>
              <w:t xml:space="preserve">• Dimensions &amp; Alignment: </w:t>
            </w:r>
            <w:r>
              <w:t>Width: 6.5 in, Height: 4.5 in, Resolution: 300 DPI, Centered</w:t>
            </w:r>
          </w:p>
          <w:p>
            <w:pPr/>
            <w:r>
              <w:rPr>
                <w:b/>
                <w:color w:val="B45309"/>
              </w:rPr>
              <w:t xml:space="preserve">• Review Comment: </w:t>
            </w:r>
            <w:r>
              <w:t>Insert Figure 3.2 here: Architectural block diagram showing administrative governance, 23-taxonomy question studio, 300 DPI preprocessing, hybrid OCR, dual evaluation workbenches, and real-time OBE tabulation.</w:t>
            </w:r>
          </w:p>
        </w:tc>
      </w:tr>
    </w:tbl>
    <w:p>
      <w:pPr>
        <w:pStyle w:val="FigureCell"/>
        <w:jc w:val="center"/>
      </w:pPr>
      <w:commentRangeStart w:id="2"/>
      <w:r>
        <w:rPr>
          <w:rFonts w:ascii="Times New Roman" w:hAnsi="Times New Roman"/>
          <w:b/>
          <w:sz w:val="22"/>
        </w:rPr>
        <w:t>Figure 3.2: High-Level Multi-Tier System Architecture of IntelliGrade</w:t>
      </w:r>
      <w:commentRangeEnd w:id="2"/>
      <w:r>
        <w:rPr>
          <w:rStyle w:val="CommentReference"/>
        </w:rPr>
        <w:commentReference w:id="2"/>
      </w:r>
    </w:p>
    <w:p>
      <w:pPr>
        <w:pStyle w:val="FigureDescription"/>
      </w:pPr>
      <w:r>
        <w:t>Figure 3.2 provides a comprehensive overview of the IntelliGrade system architecture, illustrating the end-to-end pipeline from administrative exam routine scanning and 23-taxonomy question authoring to 300 DPI script preprocessing, dual evaluation workbenches, split-screen verification, and 8-sheet OBE tabulation.</w:t>
      </w:r>
    </w:p>
    <w:p>
      <w:pPr>
        <w:pStyle w:val="Heading5"/>
      </w:pPr>
      <w:r>
        <w:t>3.2.2 Technology Stack Matrix.</w:t>
      </w:r>
    </w:p>
    <w:p>
      <w:pPr>
        <w:pStyle w:val="C-BodyText"/>
      </w:pPr>
      <w:r>
        <w:t>The complete technology stack powering IntelliGrade was selected based on enterprise reliability, open-source longevity, performance benchmarks, and zero-licensing cost. Table 3.1 details each selected technology, version, and architectural role.</w:t>
      </w:r>
    </w:p>
    <w:p>
      <w:pPr>
        <w:pStyle w:val="TableTitle"/>
      </w:pPr>
      <w:r>
        <w:rPr>
          <w:rFonts w:ascii="Times New Roman" w:hAnsi="Times New Roman"/>
          <w:b/>
        </w:rPr>
        <w:t>Table 3.1: IntelliGrade Technology Stack &amp; Architectural Layer Specification</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2E8F0"/>
          <w:insideV w:val="none"/>
          <w:left w:val="none"/>
          <w:right w:val="none"/>
        </w:tblBorders>
      </w:tblPr>
      <w:tblGrid>
        <w:gridCol w:w="2250"/>
        <w:gridCol w:w="2250"/>
        <w:gridCol w:w="2250"/>
        <w:gridCol w:w="2250"/>
      </w:tblGrid>
      <w:tr>
        <w:tc>
          <w:tcPr>
            <w:tcW w:type="dxa" w:w="2016"/>
            <w:shd w:fill="D9E1F2" w:val="clear"/>
          </w:tcPr>
          <w:p>
            <w:pPr>
              <w:pStyle w:val="TableCell"/>
            </w:pPr>
            <w:r>
              <w:rPr>
                <w:rFonts w:ascii="Times New Roman" w:hAnsi="Times New Roman"/>
                <w:b/>
                <w:sz w:val="20"/>
              </w:rPr>
              <w:t>System Layer</w:t>
            </w:r>
          </w:p>
        </w:tc>
        <w:tc>
          <w:tcPr>
            <w:tcW w:type="dxa" w:w="2592"/>
            <w:shd w:fill="D9E1F2" w:val="clear"/>
          </w:tcPr>
          <w:p>
            <w:pPr>
              <w:pStyle w:val="TableCell"/>
            </w:pPr>
            <w:r>
              <w:rPr>
                <w:rFonts w:ascii="Times New Roman" w:hAnsi="Times New Roman"/>
                <w:b/>
                <w:sz w:val="20"/>
              </w:rPr>
              <w:t>Technology / Framework</w:t>
            </w:r>
          </w:p>
        </w:tc>
        <w:tc>
          <w:tcPr>
            <w:tcW w:type="dxa" w:w="1440"/>
            <w:shd w:fill="D9E1F2" w:val="clear"/>
          </w:tcPr>
          <w:p>
            <w:pPr>
              <w:pStyle w:val="TableCell"/>
            </w:pPr>
            <w:r>
              <w:rPr>
                <w:rFonts w:ascii="Times New Roman" w:hAnsi="Times New Roman"/>
                <w:b/>
                <w:sz w:val="20"/>
              </w:rPr>
              <w:t>Version</w:t>
            </w:r>
          </w:p>
        </w:tc>
        <w:tc>
          <w:tcPr>
            <w:tcW w:type="dxa" w:w="3312"/>
            <w:shd w:fill="D9E1F2" w:val="clear"/>
          </w:tcPr>
          <w:p>
            <w:pPr>
              <w:pStyle w:val="TableCell"/>
            </w:pPr>
            <w:r>
              <w:rPr>
                <w:rFonts w:ascii="Times New Roman" w:hAnsi="Times New Roman"/>
                <w:b/>
                <w:sz w:val="20"/>
              </w:rPr>
              <w:t>Role &amp; Technical Implementation Detail</w:t>
            </w:r>
          </w:p>
        </w:tc>
      </w:tr>
      <w:tr>
        <w:tc>
          <w:tcPr>
            <w:tcW w:type="dxa" w:w="2016"/>
          </w:tcPr>
          <w:p>
            <w:pPr>
              <w:pStyle w:val="TableCell"/>
            </w:pPr>
            <w:r>
              <w:rPr>
                <w:rFonts w:ascii="Times New Roman" w:hAnsi="Times New Roman"/>
                <w:sz w:val="19"/>
              </w:rPr>
              <w:t>Backend Core</w:t>
            </w:r>
          </w:p>
        </w:tc>
        <w:tc>
          <w:tcPr>
            <w:tcW w:type="dxa" w:w="2592"/>
          </w:tcPr>
          <w:p>
            <w:pPr>
              <w:pStyle w:val="TableCell"/>
            </w:pPr>
            <w:r>
              <w:rPr>
                <w:rFonts w:ascii="Times New Roman" w:hAnsi="Times New Roman"/>
                <w:sz w:val="19"/>
              </w:rPr>
              <w:t>Python &amp; Django MVT</w:t>
            </w:r>
          </w:p>
        </w:tc>
        <w:tc>
          <w:tcPr>
            <w:tcW w:type="dxa" w:w="1440"/>
          </w:tcPr>
          <w:p>
            <w:pPr>
              <w:pStyle w:val="TableCell"/>
            </w:pPr>
            <w:r>
              <w:rPr>
                <w:rFonts w:ascii="Times New Roman" w:hAnsi="Times New Roman"/>
                <w:sz w:val="19"/>
              </w:rPr>
              <w:t>3.11+ / 5.2.x</w:t>
            </w:r>
          </w:p>
        </w:tc>
        <w:tc>
          <w:tcPr>
            <w:tcW w:type="dxa" w:w="3312"/>
          </w:tcPr>
          <w:p>
            <w:pPr>
              <w:pStyle w:val="TableCell"/>
            </w:pPr>
            <w:r>
              <w:rPr>
                <w:rFonts w:ascii="Times New Roman" w:hAnsi="Times New Roman"/>
                <w:sz w:val="19"/>
              </w:rPr>
              <w:t>Core web runtime, MVC/MVT architecture, ORM query engine, security decorators.</w:t>
            </w:r>
          </w:p>
        </w:tc>
      </w:tr>
      <w:tr>
        <w:tc>
          <w:tcPr>
            <w:tcW w:type="dxa" w:w="2016"/>
            <w:shd w:fill="F8FAFC" w:val="clear"/>
          </w:tcPr>
          <w:p>
            <w:pPr>
              <w:pStyle w:val="TableCell"/>
            </w:pPr>
            <w:r>
              <w:rPr>
                <w:rFonts w:ascii="Times New Roman" w:hAnsi="Times New Roman"/>
                <w:sz w:val="19"/>
              </w:rPr>
              <w:t>API Routing</w:t>
            </w:r>
          </w:p>
        </w:tc>
        <w:tc>
          <w:tcPr>
            <w:tcW w:type="dxa" w:w="2592"/>
            <w:shd w:fill="F8FAFC" w:val="clear"/>
          </w:tcPr>
          <w:p>
            <w:pPr>
              <w:pStyle w:val="TableCell"/>
            </w:pPr>
            <w:r>
              <w:rPr>
                <w:rFonts w:ascii="Times New Roman" w:hAnsi="Times New Roman"/>
                <w:sz w:val="19"/>
              </w:rPr>
              <w:t>Django REST Framework</w:t>
            </w:r>
          </w:p>
        </w:tc>
        <w:tc>
          <w:tcPr>
            <w:tcW w:type="dxa" w:w="1440"/>
            <w:shd w:fill="F8FAFC" w:val="clear"/>
          </w:tcPr>
          <w:p>
            <w:pPr>
              <w:pStyle w:val="TableCell"/>
            </w:pPr>
            <w:r>
              <w:rPr>
                <w:rFonts w:ascii="Times New Roman" w:hAnsi="Times New Roman"/>
                <w:sz w:val="19"/>
              </w:rPr>
              <w:t>3.15.x</w:t>
            </w:r>
          </w:p>
        </w:tc>
        <w:tc>
          <w:tcPr>
            <w:tcW w:type="dxa" w:w="3312"/>
            <w:shd w:fill="F8FAFC" w:val="clear"/>
          </w:tcPr>
          <w:p>
            <w:pPr>
              <w:pStyle w:val="TableCell"/>
            </w:pPr>
            <w:r>
              <w:rPr>
                <w:rFonts w:ascii="Times New Roman" w:hAnsi="Times New Roman"/>
                <w:sz w:val="19"/>
              </w:rPr>
              <w:t>REST and AJAX micro-endpoints, serialization, token auth, JSON API error handling.</w:t>
            </w:r>
          </w:p>
        </w:tc>
      </w:tr>
      <w:tr>
        <w:tc>
          <w:tcPr>
            <w:tcW w:type="dxa" w:w="2016"/>
          </w:tcPr>
          <w:p>
            <w:pPr>
              <w:pStyle w:val="TableCell"/>
            </w:pPr>
            <w:r>
              <w:rPr>
                <w:rFonts w:ascii="Times New Roman" w:hAnsi="Times New Roman"/>
                <w:sz w:val="19"/>
              </w:rPr>
              <w:t>Relational DB</w:t>
            </w:r>
          </w:p>
        </w:tc>
        <w:tc>
          <w:tcPr>
            <w:tcW w:type="dxa" w:w="2592"/>
          </w:tcPr>
          <w:p>
            <w:pPr>
              <w:pStyle w:val="TableCell"/>
            </w:pPr>
            <w:r>
              <w:rPr>
                <w:rFonts w:ascii="Times New Roman" w:hAnsi="Times New Roman"/>
                <w:sz w:val="19"/>
              </w:rPr>
              <w:t>PostgreSQL / SQLite</w:t>
            </w:r>
          </w:p>
        </w:tc>
        <w:tc>
          <w:tcPr>
            <w:tcW w:type="dxa" w:w="1440"/>
          </w:tcPr>
          <w:p>
            <w:pPr>
              <w:pStyle w:val="TableCell"/>
            </w:pPr>
            <w:r>
              <w:rPr>
                <w:rFonts w:ascii="Times New Roman" w:hAnsi="Times New Roman"/>
                <w:sz w:val="19"/>
              </w:rPr>
              <w:t>16.x / 3.45+</w:t>
            </w:r>
          </w:p>
        </w:tc>
        <w:tc>
          <w:tcPr>
            <w:tcW w:type="dxa" w:w="3312"/>
          </w:tcPr>
          <w:p>
            <w:pPr>
              <w:pStyle w:val="TableCell"/>
            </w:pPr>
            <w:r>
              <w:rPr>
                <w:rFonts w:ascii="Times New Roman" w:hAnsi="Times New Roman"/>
                <w:sz w:val="19"/>
              </w:rPr>
              <w:t>ACID relational persistence, composite B-tree indexes, JSONB fields for OBE taxonomy.</w:t>
            </w:r>
          </w:p>
        </w:tc>
      </w:tr>
      <w:tr>
        <w:tc>
          <w:tcPr>
            <w:tcW w:type="dxa" w:w="2016"/>
            <w:shd w:fill="F8FAFC" w:val="clear"/>
          </w:tcPr>
          <w:p>
            <w:pPr>
              <w:pStyle w:val="TableCell"/>
            </w:pPr>
            <w:r>
              <w:rPr>
                <w:rFonts w:ascii="Times New Roman" w:hAnsi="Times New Roman"/>
                <w:sz w:val="19"/>
              </w:rPr>
              <w:t>Document Engine</w:t>
            </w:r>
          </w:p>
        </w:tc>
        <w:tc>
          <w:tcPr>
            <w:tcW w:type="dxa" w:w="2592"/>
            <w:shd w:fill="F8FAFC" w:val="clear"/>
          </w:tcPr>
          <w:p>
            <w:pPr>
              <w:pStyle w:val="TableCell"/>
            </w:pPr>
            <w:r>
              <w:rPr>
                <w:rFonts w:ascii="Times New Roman" w:hAnsi="Times New Roman"/>
                <w:sz w:val="19"/>
              </w:rPr>
              <w:t>PyMuPDF (fitz) &amp; PyPDF2</w:t>
            </w:r>
          </w:p>
        </w:tc>
        <w:tc>
          <w:tcPr>
            <w:tcW w:type="dxa" w:w="1440"/>
            <w:shd w:fill="F8FAFC" w:val="clear"/>
          </w:tcPr>
          <w:p>
            <w:pPr>
              <w:pStyle w:val="TableCell"/>
            </w:pPr>
            <w:r>
              <w:rPr>
                <w:rFonts w:ascii="Times New Roman" w:hAnsi="Times New Roman"/>
                <w:sz w:val="19"/>
              </w:rPr>
              <w:t>1.24.x / 3.0.x</w:t>
            </w:r>
          </w:p>
        </w:tc>
        <w:tc>
          <w:tcPr>
            <w:tcW w:type="dxa" w:w="3312"/>
            <w:shd w:fill="F8FAFC" w:val="clear"/>
          </w:tcPr>
          <w:p>
            <w:pPr>
              <w:pStyle w:val="TableCell"/>
            </w:pPr>
            <w:r>
              <w:rPr>
                <w:rFonts w:ascii="Times New Roman" w:hAnsi="Times New Roman"/>
                <w:sz w:val="19"/>
              </w:rPr>
              <w:t>Fast 300 DPI page rasterization, embedded font glyph mapping, multi-page slicing.</w:t>
            </w:r>
          </w:p>
        </w:tc>
      </w:tr>
      <w:tr>
        <w:tc>
          <w:tcPr>
            <w:tcW w:type="dxa" w:w="2016"/>
          </w:tcPr>
          <w:p>
            <w:pPr>
              <w:pStyle w:val="TableCell"/>
            </w:pPr>
            <w:r>
              <w:rPr>
                <w:rFonts w:ascii="Times New Roman" w:hAnsi="Times New Roman"/>
                <w:sz w:val="19"/>
              </w:rPr>
              <w:t>PDF Generation</w:t>
            </w:r>
          </w:p>
        </w:tc>
        <w:tc>
          <w:tcPr>
            <w:tcW w:type="dxa" w:w="2592"/>
          </w:tcPr>
          <w:p>
            <w:pPr>
              <w:pStyle w:val="TableCell"/>
            </w:pPr>
            <w:r>
              <w:rPr>
                <w:rFonts w:ascii="Times New Roman" w:hAnsi="Times New Roman"/>
                <w:sz w:val="19"/>
              </w:rPr>
              <w:t>ReportLab Library</w:t>
            </w:r>
          </w:p>
        </w:tc>
        <w:tc>
          <w:tcPr>
            <w:tcW w:type="dxa" w:w="1440"/>
          </w:tcPr>
          <w:p>
            <w:pPr>
              <w:pStyle w:val="TableCell"/>
            </w:pPr>
            <w:r>
              <w:rPr>
                <w:rFonts w:ascii="Times New Roman" w:hAnsi="Times New Roman"/>
                <w:sz w:val="19"/>
              </w:rPr>
              <w:t>4.2.x</w:t>
            </w:r>
          </w:p>
        </w:tc>
        <w:tc>
          <w:tcPr>
            <w:tcW w:type="dxa" w:w="3312"/>
          </w:tcPr>
          <w:p>
            <w:pPr>
              <w:pStyle w:val="TableCell"/>
            </w:pPr>
            <w:r>
              <w:rPr>
                <w:rFonts w:ascii="Times New Roman" w:hAnsi="Times New Roman"/>
                <w:sz w:val="19"/>
              </w:rPr>
              <w:t>Programmatic generation of certified watermarked scripts with dynamic mark boxes.</w:t>
            </w:r>
          </w:p>
        </w:tc>
      </w:tr>
      <w:tr>
        <w:tc>
          <w:tcPr>
            <w:tcW w:type="dxa" w:w="2016"/>
            <w:shd w:fill="F8FAFC" w:val="clear"/>
          </w:tcPr>
          <w:p>
            <w:pPr>
              <w:pStyle w:val="TableCell"/>
            </w:pPr>
            <w:r>
              <w:rPr>
                <w:rFonts w:ascii="Times New Roman" w:hAnsi="Times New Roman"/>
                <w:sz w:val="19"/>
              </w:rPr>
              <w:t>Vision Processing</w:t>
            </w:r>
          </w:p>
        </w:tc>
        <w:tc>
          <w:tcPr>
            <w:tcW w:type="dxa" w:w="2592"/>
            <w:shd w:fill="F8FAFC" w:val="clear"/>
          </w:tcPr>
          <w:p>
            <w:pPr>
              <w:pStyle w:val="TableCell"/>
            </w:pPr>
            <w:r>
              <w:rPr>
                <w:rFonts w:ascii="Times New Roman" w:hAnsi="Times New Roman"/>
                <w:sz w:val="19"/>
              </w:rPr>
              <w:t>OpenCV &amp; Pillow (PIL)</w:t>
            </w:r>
          </w:p>
        </w:tc>
        <w:tc>
          <w:tcPr>
            <w:tcW w:type="dxa" w:w="1440"/>
            <w:shd w:fill="F8FAFC" w:val="clear"/>
          </w:tcPr>
          <w:p>
            <w:pPr>
              <w:pStyle w:val="TableCell"/>
            </w:pPr>
            <w:r>
              <w:rPr>
                <w:rFonts w:ascii="Times New Roman" w:hAnsi="Times New Roman"/>
                <w:sz w:val="19"/>
              </w:rPr>
              <w:t>4.10.x / 10.4.x</w:t>
            </w:r>
          </w:p>
        </w:tc>
        <w:tc>
          <w:tcPr>
            <w:tcW w:type="dxa" w:w="3312"/>
            <w:shd w:fill="F8FAFC" w:val="clear"/>
          </w:tcPr>
          <w:p>
            <w:pPr>
              <w:pStyle w:val="TableCell"/>
            </w:pPr>
            <w:r>
              <w:rPr>
                <w:rFonts w:ascii="Times New Roman" w:hAnsi="Times New Roman"/>
                <w:sz w:val="19"/>
              </w:rPr>
              <w:t>Hough transform deskewing, Otsu adaptive thresholding, LANCZOS downsampling.</w:t>
            </w:r>
          </w:p>
        </w:tc>
      </w:tr>
      <w:tr>
        <w:tc>
          <w:tcPr>
            <w:tcW w:type="dxa" w:w="2016"/>
          </w:tcPr>
          <w:p>
            <w:pPr>
              <w:pStyle w:val="TableCell"/>
            </w:pPr>
            <w:r>
              <w:rPr>
                <w:rFonts w:ascii="Times New Roman" w:hAnsi="Times New Roman"/>
                <w:sz w:val="19"/>
              </w:rPr>
              <w:t>OCR Engines</w:t>
            </w:r>
          </w:p>
        </w:tc>
        <w:tc>
          <w:tcPr>
            <w:tcW w:type="dxa" w:w="2592"/>
          </w:tcPr>
          <w:p>
            <w:pPr>
              <w:pStyle w:val="TableCell"/>
            </w:pPr>
            <w:r>
              <w:rPr>
                <w:rFonts w:ascii="Times New Roman" w:hAnsi="Times New Roman"/>
                <w:sz w:val="19"/>
              </w:rPr>
              <w:t>PyTesseract &amp; EasyOCR</w:t>
            </w:r>
          </w:p>
        </w:tc>
        <w:tc>
          <w:tcPr>
            <w:tcW w:type="dxa" w:w="1440"/>
          </w:tcPr>
          <w:p>
            <w:pPr>
              <w:pStyle w:val="TableCell"/>
            </w:pPr>
            <w:r>
              <w:rPr>
                <w:rFonts w:ascii="Times New Roman" w:hAnsi="Times New Roman"/>
                <w:sz w:val="19"/>
              </w:rPr>
              <w:t>0.3.10 / 1.7.x</w:t>
            </w:r>
          </w:p>
        </w:tc>
        <w:tc>
          <w:tcPr>
            <w:tcW w:type="dxa" w:w="3312"/>
          </w:tcPr>
          <w:p>
            <w:pPr>
              <w:pStyle w:val="TableCell"/>
            </w:pPr>
            <w:r>
              <w:rPr>
                <w:rFonts w:ascii="Times New Roman" w:hAnsi="Times New Roman"/>
                <w:sz w:val="19"/>
              </w:rPr>
              <w:t>Fast printed text recognition (Tesseract) and deep learning CRAFT+BiLSTM (EasyOCR).</w:t>
            </w:r>
          </w:p>
        </w:tc>
      </w:tr>
      <w:tr>
        <w:tc>
          <w:tcPr>
            <w:tcW w:type="dxa" w:w="2016"/>
            <w:shd w:fill="F8FAFC" w:val="clear"/>
          </w:tcPr>
          <w:p>
            <w:pPr>
              <w:pStyle w:val="TableCell"/>
            </w:pPr>
            <w:r>
              <w:rPr>
                <w:rFonts w:ascii="Times New Roman" w:hAnsi="Times New Roman"/>
                <w:sz w:val="19"/>
              </w:rPr>
              <w:t>Local AI Inference</w:t>
            </w:r>
          </w:p>
        </w:tc>
        <w:tc>
          <w:tcPr>
            <w:tcW w:type="dxa" w:w="2592"/>
            <w:shd w:fill="F8FAFC" w:val="clear"/>
          </w:tcPr>
          <w:p>
            <w:pPr>
              <w:pStyle w:val="TableCell"/>
            </w:pPr>
            <w:r>
              <w:rPr>
                <w:rFonts w:ascii="Times New Roman" w:hAnsi="Times New Roman"/>
                <w:sz w:val="19"/>
              </w:rPr>
              <w:t>Moondream2 / Ollama</w:t>
            </w:r>
          </w:p>
        </w:tc>
        <w:tc>
          <w:tcPr>
            <w:tcW w:type="dxa" w:w="1440"/>
            <w:shd w:fill="F8FAFC" w:val="clear"/>
          </w:tcPr>
          <w:p>
            <w:pPr>
              <w:pStyle w:val="TableCell"/>
            </w:pPr>
            <w:r>
              <w:rPr>
                <w:rFonts w:ascii="Times New Roman" w:hAnsi="Times New Roman"/>
                <w:sz w:val="19"/>
              </w:rPr>
              <w:t>v2.0 / 0.3.x</w:t>
            </w:r>
          </w:p>
        </w:tc>
        <w:tc>
          <w:tcPr>
            <w:tcW w:type="dxa" w:w="3312"/>
            <w:shd w:fill="F8FAFC" w:val="clear"/>
          </w:tcPr>
          <w:p>
            <w:pPr>
              <w:pStyle w:val="TableCell"/>
            </w:pPr>
            <w:r>
              <w:rPr>
                <w:rFonts w:ascii="Times New Roman" w:hAnsi="Times New Roman"/>
                <w:sz w:val="19"/>
              </w:rPr>
              <w:t>Zero-cost offline multimodal vision inference running with 800px LANCZOS optimization.</w:t>
            </w:r>
          </w:p>
        </w:tc>
      </w:tr>
      <w:tr>
        <w:tc>
          <w:tcPr>
            <w:tcW w:type="dxa" w:w="2016"/>
          </w:tcPr>
          <w:p>
            <w:pPr>
              <w:pStyle w:val="TableCell"/>
            </w:pPr>
            <w:r>
              <w:rPr>
                <w:rFonts w:ascii="Times New Roman" w:hAnsi="Times New Roman"/>
                <w:sz w:val="19"/>
              </w:rPr>
              <w:t>Cloud AI Core</w:t>
            </w:r>
          </w:p>
        </w:tc>
        <w:tc>
          <w:tcPr>
            <w:tcW w:type="dxa" w:w="2592"/>
          </w:tcPr>
          <w:p>
            <w:pPr>
              <w:pStyle w:val="TableCell"/>
            </w:pPr>
            <w:r>
              <w:rPr>
                <w:rFonts w:ascii="Times New Roman" w:hAnsi="Times New Roman"/>
                <w:sz w:val="19"/>
              </w:rPr>
              <w:t>Groq, Gemini, OpenRouter</w:t>
            </w:r>
          </w:p>
        </w:tc>
        <w:tc>
          <w:tcPr>
            <w:tcW w:type="dxa" w:w="1440"/>
          </w:tcPr>
          <w:p>
            <w:pPr>
              <w:pStyle w:val="TableCell"/>
            </w:pPr>
            <w:r>
              <w:rPr>
                <w:rFonts w:ascii="Times New Roman" w:hAnsi="Times New Roman"/>
                <w:sz w:val="19"/>
              </w:rPr>
              <w:t>Latest APIs</w:t>
            </w:r>
          </w:p>
        </w:tc>
        <w:tc>
          <w:tcPr>
            <w:tcW w:type="dxa" w:w="3312"/>
          </w:tcPr>
          <w:p>
            <w:pPr>
              <w:pStyle w:val="TableCell"/>
            </w:pPr>
            <w:r>
              <w:rPr>
                <w:rFonts w:ascii="Times New Roman" w:hAnsi="Times New Roman"/>
                <w:sz w:val="19"/>
              </w:rPr>
              <w:t>Ultra-fast Llama-3.3 70B (Groq), Gemini 2.5 Flash multimodal, and failover gateway.</w:t>
            </w:r>
          </w:p>
        </w:tc>
      </w:tr>
      <w:tr>
        <w:tc>
          <w:tcPr>
            <w:tcW w:type="dxa" w:w="2016"/>
            <w:shd w:fill="F8FAFC" w:val="clear"/>
          </w:tcPr>
          <w:p>
            <w:pPr>
              <w:pStyle w:val="TableCell"/>
            </w:pPr>
            <w:r>
              <w:rPr>
                <w:rFonts w:ascii="Times New Roman" w:hAnsi="Times New Roman"/>
                <w:sz w:val="19"/>
              </w:rPr>
              <w:t>Excel Engine</w:t>
            </w:r>
          </w:p>
        </w:tc>
        <w:tc>
          <w:tcPr>
            <w:tcW w:type="dxa" w:w="2592"/>
            <w:shd w:fill="F8FAFC" w:val="clear"/>
          </w:tcPr>
          <w:p>
            <w:pPr>
              <w:pStyle w:val="TableCell"/>
            </w:pPr>
            <w:r>
              <w:rPr>
                <w:rFonts w:ascii="Times New Roman" w:hAnsi="Times New Roman"/>
                <w:sz w:val="19"/>
              </w:rPr>
              <w:t>openpyxl Library</w:t>
            </w:r>
          </w:p>
        </w:tc>
        <w:tc>
          <w:tcPr>
            <w:tcW w:type="dxa" w:w="1440"/>
            <w:shd w:fill="F8FAFC" w:val="clear"/>
          </w:tcPr>
          <w:p>
            <w:pPr>
              <w:pStyle w:val="TableCell"/>
            </w:pPr>
            <w:r>
              <w:rPr>
                <w:rFonts w:ascii="Times New Roman" w:hAnsi="Times New Roman"/>
                <w:sz w:val="19"/>
              </w:rPr>
              <w:t>3.1.x</w:t>
            </w:r>
          </w:p>
        </w:tc>
        <w:tc>
          <w:tcPr>
            <w:tcW w:type="dxa" w:w="3312"/>
            <w:shd w:fill="F8FAFC" w:val="clear"/>
          </w:tcPr>
          <w:p>
            <w:pPr>
              <w:pStyle w:val="TableCell"/>
            </w:pPr>
            <w:r>
              <w:rPr>
                <w:rFonts w:ascii="Times New Roman" w:hAnsi="Times New Roman"/>
                <w:sz w:val="19"/>
              </w:rPr>
              <w:t>Programmatic creation of 8-sheet OBE Excel accreditation workbooks with live formulas.</w:t>
            </w:r>
          </w:p>
        </w:tc>
      </w:tr>
      <w:tr>
        <w:tc>
          <w:tcPr>
            <w:tcW w:type="dxa" w:w="2016"/>
          </w:tcPr>
          <w:p>
            <w:pPr>
              <w:pStyle w:val="TableCell"/>
            </w:pPr>
            <w:r>
              <w:rPr>
                <w:rFonts w:ascii="Times New Roman" w:hAnsi="Times New Roman"/>
                <w:sz w:val="19"/>
              </w:rPr>
              <w:t>Frontend UI</w:t>
            </w:r>
          </w:p>
        </w:tc>
        <w:tc>
          <w:tcPr>
            <w:tcW w:type="dxa" w:w="2592"/>
          </w:tcPr>
          <w:p>
            <w:pPr>
              <w:pStyle w:val="TableCell"/>
            </w:pPr>
            <w:r>
              <w:rPr>
                <w:rFonts w:ascii="Times New Roman" w:hAnsi="Times New Roman"/>
                <w:sz w:val="19"/>
              </w:rPr>
              <w:t>HTML5, Vanilla JS, Tailwind</w:t>
            </w:r>
          </w:p>
        </w:tc>
        <w:tc>
          <w:tcPr>
            <w:tcW w:type="dxa" w:w="1440"/>
          </w:tcPr>
          <w:p>
            <w:pPr>
              <w:pStyle w:val="TableCell"/>
            </w:pPr>
            <w:r>
              <w:rPr>
                <w:rFonts w:ascii="Times New Roman" w:hAnsi="Times New Roman"/>
                <w:sz w:val="19"/>
              </w:rPr>
              <w:t>ES6+ / 3.4.x</w:t>
            </w:r>
          </w:p>
        </w:tc>
        <w:tc>
          <w:tcPr>
            <w:tcW w:type="dxa" w:w="3312"/>
          </w:tcPr>
          <w:p>
            <w:pPr>
              <w:pStyle w:val="TableCell"/>
            </w:pPr>
            <w:r>
              <w:rPr>
                <w:rFonts w:ascii="Times New Roman" w:hAnsi="Times New Roman"/>
                <w:sz w:val="19"/>
              </w:rPr>
              <w:t>Dynamic split-screen canvas, asynchronous fetch pipelines, dark mode, responsive UI.</w:t>
            </w:r>
          </w:p>
        </w:tc>
      </w:tr>
    </w:tbl>
    <w:p>
      <w:pPr>
        <w:pStyle w:val="TableDescription"/>
      </w:pPr>
      <w:r>
        <w:t>Table 3.1 enumerates the complete technology stack powering IntelliGrade, detailing the selected frameworks, libraries, versions, and their specific architectural roles across backend, database, OCR, AI, and document generation layers.</w:t>
      </w:r>
    </w:p>
    <w:p>
      <w:pPr>
        <w:pStyle w:val="Heading5"/>
      </w:pPr>
      <w:r>
        <w:t>3.2.3 Security Architecture &amp; Role-Based Access Control.</w:t>
      </w:r>
    </w:p>
    <w:p>
      <w:pPr>
        <w:pStyle w:val="C-BodyText"/>
      </w:pPr>
      <w:r>
        <w:t>Security is enforced at multiple layers: (1) Authentication mandates cryptographic hashing via Argon2 and PBKDF2; (2) Authorization employs custom Python decorators (@role_required) enforcing strict role separation across all view controllers; (3) Cross-Site Request Forgery (CSRF) protection is activated on all HTTP POST/PUT/DELETE endpoints; (4) Password reset workflows utilize cryptographically secure 6-digit OTPs backed by Django LocMemCache with an immutable 10-minute expiry; and (5) All administrative actions and mark modifications generate immutable audit log records with IP tracking.</w:t>
      </w:r>
    </w:p>
    <w:p>
      <w:pPr>
        <w:pStyle w:val="Heading4"/>
      </w:pPr>
      <w:r>
        <w:t>3.3 Database Schema &amp; Performance Optimization</w:t>
      </w:r>
    </w:p>
    <w:p>
      <w:pPr>
        <w:pStyle w:val="BodyText"/>
      </w:pPr>
      <w:r>
        <w:t>3.3.1 Relational Schema Specification: The relational database schema of IntelliGrade is modeled across 22 normalized entities in Django ORM, ensuring strict ACID compliance, referential integrity, and efficient querying.</w:t>
      </w:r>
    </w:p>
    <w:p>
      <w:pPr>
        <w:pStyle w:val="BodyText"/>
      </w:pPr>
      <w:r>
        <w:t>Table 3.2 provides the complete relational schema specification, enumerating primary attributes, relationships, and specialized composite B-tree indexes applied across the models.</w:t>
      </w:r>
    </w:p>
    <w:p>
      <w:pPr>
        <w:pStyle w:val="TableTitle"/>
      </w:pPr>
      <w:r>
        <w:rPr>
          <w:rFonts w:ascii="Times New Roman" w:hAnsi="Times New Roman"/>
          <w:b/>
        </w:rPr>
        <w:t>Table 3.2: Core Relational Database Models, Fields, and Composite Index Matrix</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2E8F0"/>
          <w:insideV w:val="none"/>
          <w:left w:val="none"/>
          <w:right w:val="none"/>
        </w:tblBorders>
      </w:tblPr>
      <w:tblGrid>
        <w:gridCol w:w="2250"/>
        <w:gridCol w:w="2250"/>
        <w:gridCol w:w="2250"/>
        <w:gridCol w:w="2250"/>
      </w:tblGrid>
      <w:tr>
        <w:tc>
          <w:tcPr>
            <w:tcW w:type="dxa" w:w="2016"/>
            <w:shd w:fill="D9E1F2" w:val="clear"/>
          </w:tcPr>
          <w:p>
            <w:pPr>
              <w:pStyle w:val="TableCell"/>
            </w:pPr>
            <w:r>
              <w:rPr>
                <w:rFonts w:ascii="Times New Roman" w:hAnsi="Times New Roman"/>
                <w:b/>
                <w:sz w:val="20"/>
              </w:rPr>
              <w:t>Model Name</w:t>
            </w:r>
          </w:p>
        </w:tc>
        <w:tc>
          <w:tcPr>
            <w:tcW w:type="dxa" w:w="2592"/>
            <w:shd w:fill="D9E1F2" w:val="clear"/>
          </w:tcPr>
          <w:p>
            <w:pPr>
              <w:pStyle w:val="TableCell"/>
            </w:pPr>
            <w:r>
              <w:rPr>
                <w:rFonts w:ascii="Times New Roman" w:hAnsi="Times New Roman"/>
                <w:b/>
                <w:sz w:val="20"/>
              </w:rPr>
              <w:t>Primary Attributes &amp; Key Fields</w:t>
            </w:r>
          </w:p>
        </w:tc>
        <w:tc>
          <w:tcPr>
            <w:tcW w:type="dxa" w:w="2160"/>
            <w:shd w:fill="D9E1F2" w:val="clear"/>
          </w:tcPr>
          <w:p>
            <w:pPr>
              <w:pStyle w:val="TableCell"/>
            </w:pPr>
            <w:r>
              <w:rPr>
                <w:rFonts w:ascii="Times New Roman" w:hAnsi="Times New Roman"/>
                <w:b/>
                <w:sz w:val="20"/>
              </w:rPr>
              <w:t>Relations &amp; Cardinality</w:t>
            </w:r>
          </w:p>
        </w:tc>
        <w:tc>
          <w:tcPr>
            <w:tcW w:type="dxa" w:w="2592"/>
            <w:shd w:fill="D9E1F2" w:val="clear"/>
          </w:tcPr>
          <w:p>
            <w:pPr>
              <w:pStyle w:val="TableCell"/>
            </w:pPr>
            <w:r>
              <w:rPr>
                <w:rFonts w:ascii="Times New Roman" w:hAnsi="Times New Roman"/>
                <w:b/>
                <w:sz w:val="20"/>
              </w:rPr>
              <w:t>Composite &amp; Specialized Indexing</w:t>
            </w:r>
          </w:p>
        </w:tc>
      </w:tr>
      <w:tr>
        <w:tc>
          <w:tcPr>
            <w:tcW w:type="dxa" w:w="2016"/>
          </w:tcPr>
          <w:p>
            <w:pPr>
              <w:pStyle w:val="TableCell"/>
            </w:pPr>
            <w:r>
              <w:rPr>
                <w:rFonts w:ascii="Times New Roman" w:hAnsi="Times New Roman"/>
                <w:sz w:val="19"/>
              </w:rPr>
              <w:t>Profile</w:t>
            </w:r>
          </w:p>
        </w:tc>
        <w:tc>
          <w:tcPr>
            <w:tcW w:type="dxa" w:w="2592"/>
          </w:tcPr>
          <w:p>
            <w:pPr>
              <w:pStyle w:val="TableCell"/>
            </w:pPr>
            <w:r>
              <w:rPr>
                <w:rFonts w:ascii="Times New Roman" w:hAnsi="Times New Roman"/>
                <w:sz w:val="19"/>
              </w:rPr>
              <w:t>user, role, is_approved, phone, address</w:t>
            </w:r>
          </w:p>
        </w:tc>
        <w:tc>
          <w:tcPr>
            <w:tcW w:type="dxa" w:w="2160"/>
          </w:tcPr>
          <w:p>
            <w:pPr>
              <w:pStyle w:val="TableCell"/>
            </w:pPr>
            <w:r>
              <w:rPr>
                <w:rFonts w:ascii="Times New Roman" w:hAnsi="Times New Roman"/>
                <w:sz w:val="19"/>
              </w:rPr>
              <w:t>OneToOne to auth.User, FK to Department</w:t>
            </w:r>
          </w:p>
        </w:tc>
        <w:tc>
          <w:tcPr>
            <w:tcW w:type="dxa" w:w="2592"/>
          </w:tcPr>
          <w:p>
            <w:pPr>
              <w:pStyle w:val="TableCell"/>
            </w:pPr>
            <w:r>
              <w:rPr>
                <w:rFonts w:ascii="Times New Roman" w:hAnsi="Times New Roman"/>
                <w:sz w:val="19"/>
              </w:rPr>
              <w:t>Index(fields=['role', 'is_approved'])</w:t>
            </w:r>
          </w:p>
        </w:tc>
      </w:tr>
      <w:tr>
        <w:tc>
          <w:tcPr>
            <w:tcW w:type="dxa" w:w="2016"/>
            <w:shd w:fill="F8FAFC" w:val="clear"/>
          </w:tcPr>
          <w:p>
            <w:pPr>
              <w:pStyle w:val="TableCell"/>
            </w:pPr>
            <w:r>
              <w:rPr>
                <w:rFonts w:ascii="Times New Roman" w:hAnsi="Times New Roman"/>
                <w:sz w:val="19"/>
              </w:rPr>
              <w:t>Department</w:t>
            </w:r>
          </w:p>
        </w:tc>
        <w:tc>
          <w:tcPr>
            <w:tcW w:type="dxa" w:w="2592"/>
            <w:shd w:fill="F8FAFC" w:val="clear"/>
          </w:tcPr>
          <w:p>
            <w:pPr>
              <w:pStyle w:val="TableCell"/>
            </w:pPr>
            <w:r>
              <w:rPr>
                <w:rFonts w:ascii="Times New Roman" w:hAnsi="Times New Roman"/>
                <w:sz w:val="19"/>
              </w:rPr>
              <w:t>name, code, is_active</w:t>
            </w:r>
          </w:p>
        </w:tc>
        <w:tc>
          <w:tcPr>
            <w:tcW w:type="dxa" w:w="2160"/>
            <w:shd w:fill="F8FAFC" w:val="clear"/>
          </w:tcPr>
          <w:p>
            <w:pPr>
              <w:pStyle w:val="TableCell"/>
            </w:pPr>
            <w:r>
              <w:rPr>
                <w:rFonts w:ascii="Times New Roman" w:hAnsi="Times New Roman"/>
                <w:sz w:val="19"/>
              </w:rPr>
              <w:t>FK to School, 1-to-Many to Course</w:t>
            </w:r>
          </w:p>
        </w:tc>
        <w:tc>
          <w:tcPr>
            <w:tcW w:type="dxa" w:w="2592"/>
            <w:shd w:fill="F8FAFC" w:val="clear"/>
          </w:tcPr>
          <w:p>
            <w:pPr>
              <w:pStyle w:val="TableCell"/>
            </w:pPr>
            <w:r>
              <w:rPr>
                <w:rFonts w:ascii="Times New Roman" w:hAnsi="Times New Roman"/>
                <w:sz w:val="19"/>
              </w:rPr>
              <w:t>Index(fields=['code', 'is_active'])</w:t>
            </w:r>
          </w:p>
        </w:tc>
      </w:tr>
      <w:tr>
        <w:tc>
          <w:tcPr>
            <w:tcW w:type="dxa" w:w="2016"/>
          </w:tcPr>
          <w:p>
            <w:pPr>
              <w:pStyle w:val="TableCell"/>
            </w:pPr>
            <w:r>
              <w:rPr>
                <w:rFonts w:ascii="Times New Roman" w:hAnsi="Times New Roman"/>
                <w:sz w:val="19"/>
              </w:rPr>
              <w:t>Course</w:t>
            </w:r>
          </w:p>
        </w:tc>
        <w:tc>
          <w:tcPr>
            <w:tcW w:type="dxa" w:w="2592"/>
          </w:tcPr>
          <w:p>
            <w:pPr>
              <w:pStyle w:val="TableCell"/>
            </w:pPr>
            <w:r>
              <w:rPr>
                <w:rFonts w:ascii="Times New Roman" w:hAnsi="Times New Roman"/>
                <w:sz w:val="19"/>
              </w:rPr>
              <w:t>code, title, is_active</w:t>
            </w:r>
          </w:p>
        </w:tc>
        <w:tc>
          <w:tcPr>
            <w:tcW w:type="dxa" w:w="2160"/>
          </w:tcPr>
          <w:p>
            <w:pPr>
              <w:pStyle w:val="TableCell"/>
            </w:pPr>
            <w:r>
              <w:rPr>
                <w:rFonts w:ascii="Times New Roman" w:hAnsi="Times New Roman"/>
                <w:sz w:val="19"/>
              </w:rPr>
              <w:t>FK to Department, M2M to Faculty</w:t>
            </w:r>
          </w:p>
        </w:tc>
        <w:tc>
          <w:tcPr>
            <w:tcW w:type="dxa" w:w="2592"/>
          </w:tcPr>
          <w:p>
            <w:pPr>
              <w:pStyle w:val="TableCell"/>
            </w:pPr>
            <w:r>
              <w:rPr>
                <w:rFonts w:ascii="Times New Roman" w:hAnsi="Times New Roman"/>
                <w:sz w:val="19"/>
              </w:rPr>
              <w:t>Index(fields=['code', 'department'])</w:t>
            </w:r>
          </w:p>
        </w:tc>
      </w:tr>
      <w:tr>
        <w:tc>
          <w:tcPr>
            <w:tcW w:type="dxa" w:w="2016"/>
            <w:shd w:fill="F8FAFC" w:val="clear"/>
          </w:tcPr>
          <w:p>
            <w:pPr>
              <w:pStyle w:val="TableCell"/>
            </w:pPr>
            <w:r>
              <w:rPr>
                <w:rFonts w:ascii="Times New Roman" w:hAnsi="Times New Roman"/>
                <w:sz w:val="19"/>
              </w:rPr>
              <w:t>Examination</w:t>
            </w:r>
          </w:p>
        </w:tc>
        <w:tc>
          <w:tcPr>
            <w:tcW w:type="dxa" w:w="2592"/>
            <w:shd w:fill="F8FAFC" w:val="clear"/>
          </w:tcPr>
          <w:p>
            <w:pPr>
              <w:pStyle w:val="TableCell"/>
            </w:pPr>
            <w:r>
              <w:rPr>
                <w:rFonts w:ascii="Times New Roman" w:hAnsi="Times New Roman"/>
                <w:sz w:val="19"/>
              </w:rPr>
              <w:t>title, exam_type, total_marks, status, date</w:t>
            </w:r>
          </w:p>
        </w:tc>
        <w:tc>
          <w:tcPr>
            <w:tcW w:type="dxa" w:w="2160"/>
            <w:shd w:fill="F8FAFC" w:val="clear"/>
          </w:tcPr>
          <w:p>
            <w:pPr>
              <w:pStyle w:val="TableCell"/>
            </w:pPr>
            <w:r>
              <w:rPr>
                <w:rFonts w:ascii="Times New Roman" w:hAnsi="Times New Roman"/>
                <w:sz w:val="19"/>
              </w:rPr>
              <w:t>FK to Course, 1-to-Many to Question</w:t>
            </w:r>
          </w:p>
        </w:tc>
        <w:tc>
          <w:tcPr>
            <w:tcW w:type="dxa" w:w="2592"/>
            <w:shd w:fill="F8FAFC" w:val="clear"/>
          </w:tcPr>
          <w:p>
            <w:pPr>
              <w:pStyle w:val="TableCell"/>
            </w:pPr>
            <w:r>
              <w:rPr>
                <w:rFonts w:ascii="Times New Roman" w:hAnsi="Times New Roman"/>
                <w:sz w:val="19"/>
              </w:rPr>
              <w:t>Index(fields=['course', 'status'])</w:t>
            </w:r>
          </w:p>
        </w:tc>
      </w:tr>
      <w:tr>
        <w:tc>
          <w:tcPr>
            <w:tcW w:type="dxa" w:w="2016"/>
          </w:tcPr>
          <w:p>
            <w:pPr>
              <w:pStyle w:val="TableCell"/>
            </w:pPr>
            <w:r>
              <w:rPr>
                <w:rFonts w:ascii="Times New Roman" w:hAnsi="Times New Roman"/>
                <w:sz w:val="19"/>
              </w:rPr>
              <w:t>Question</w:t>
            </w:r>
          </w:p>
        </w:tc>
        <w:tc>
          <w:tcPr>
            <w:tcW w:type="dxa" w:w="2592"/>
          </w:tcPr>
          <w:p>
            <w:pPr>
              <w:pStyle w:val="TableCell"/>
            </w:pPr>
            <w:r>
              <w:rPr>
                <w:rFonts w:ascii="Times New Roman" w:hAnsi="Times New Roman"/>
                <w:sz w:val="19"/>
              </w:rPr>
              <w:t>question_number, max_marks, bloom_level, co, po</w:t>
            </w:r>
          </w:p>
        </w:tc>
        <w:tc>
          <w:tcPr>
            <w:tcW w:type="dxa" w:w="2160"/>
          </w:tcPr>
          <w:p>
            <w:pPr>
              <w:pStyle w:val="TableCell"/>
            </w:pPr>
            <w:r>
              <w:rPr>
                <w:rFonts w:ascii="Times New Roman" w:hAnsi="Times New Roman"/>
                <w:sz w:val="19"/>
              </w:rPr>
              <w:t>FK to Examination, 1-to-1 to Rubric</w:t>
            </w:r>
          </w:p>
        </w:tc>
        <w:tc>
          <w:tcPr>
            <w:tcW w:type="dxa" w:w="2592"/>
          </w:tcPr>
          <w:p>
            <w:pPr>
              <w:pStyle w:val="TableCell"/>
            </w:pPr>
            <w:r>
              <w:rPr>
                <w:rFonts w:ascii="Times New Roman" w:hAnsi="Times New Roman"/>
                <w:sz w:val="19"/>
              </w:rPr>
              <w:t>Index(fields=['examination', 'question_number'])</w:t>
            </w:r>
          </w:p>
        </w:tc>
      </w:tr>
      <w:tr>
        <w:tc>
          <w:tcPr>
            <w:tcW w:type="dxa" w:w="2016"/>
            <w:shd w:fill="F8FAFC" w:val="clear"/>
          </w:tcPr>
          <w:p>
            <w:pPr>
              <w:pStyle w:val="TableCell"/>
            </w:pPr>
            <w:r>
              <w:rPr>
                <w:rFonts w:ascii="Times New Roman" w:hAnsi="Times New Roman"/>
                <w:sz w:val="19"/>
              </w:rPr>
              <w:t>Rubric</w:t>
            </w:r>
          </w:p>
        </w:tc>
        <w:tc>
          <w:tcPr>
            <w:tcW w:type="dxa" w:w="2592"/>
            <w:shd w:fill="F8FAFC" w:val="clear"/>
          </w:tcPr>
          <w:p>
            <w:pPr>
              <w:pStyle w:val="TableCell"/>
            </w:pPr>
            <w:r>
              <w:rPr>
                <w:rFonts w:ascii="Times New Roman" w:hAnsi="Times New Roman"/>
                <w:sz w:val="19"/>
              </w:rPr>
              <w:t>criteria, ideal_answer, mark_distrib, mistakes</w:t>
            </w:r>
          </w:p>
        </w:tc>
        <w:tc>
          <w:tcPr>
            <w:tcW w:type="dxa" w:w="2160"/>
            <w:shd w:fill="F8FAFC" w:val="clear"/>
          </w:tcPr>
          <w:p>
            <w:pPr>
              <w:pStyle w:val="TableCell"/>
            </w:pPr>
            <w:r>
              <w:rPr>
                <w:rFonts w:ascii="Times New Roman" w:hAnsi="Times New Roman"/>
                <w:sz w:val="19"/>
              </w:rPr>
              <w:t>OneToOne to Question</w:t>
            </w:r>
          </w:p>
        </w:tc>
        <w:tc>
          <w:tcPr>
            <w:tcW w:type="dxa" w:w="2592"/>
            <w:shd w:fill="F8FAFC" w:val="clear"/>
          </w:tcPr>
          <w:p>
            <w:pPr>
              <w:pStyle w:val="TableCell"/>
            </w:pPr>
            <w:r>
              <w:rPr>
                <w:rFonts w:ascii="Times New Roman" w:hAnsi="Times New Roman"/>
                <w:sz w:val="19"/>
              </w:rPr>
              <w:t>Primary key constraint on Question</w:t>
            </w:r>
          </w:p>
        </w:tc>
      </w:tr>
      <w:tr>
        <w:tc>
          <w:tcPr>
            <w:tcW w:type="dxa" w:w="2016"/>
          </w:tcPr>
          <w:p>
            <w:pPr>
              <w:pStyle w:val="TableCell"/>
            </w:pPr>
            <w:r>
              <w:rPr>
                <w:rFonts w:ascii="Times New Roman" w:hAnsi="Times New Roman"/>
                <w:sz w:val="19"/>
              </w:rPr>
              <w:t>StudentSubmission</w:t>
            </w:r>
          </w:p>
        </w:tc>
        <w:tc>
          <w:tcPr>
            <w:tcW w:type="dxa" w:w="2592"/>
          </w:tcPr>
          <w:p>
            <w:pPr>
              <w:pStyle w:val="TableCell"/>
            </w:pPr>
            <w:r>
              <w:rPr>
                <w:rFonts w:ascii="Times New Roman" w:hAnsi="Times New Roman"/>
                <w:sz w:val="19"/>
              </w:rPr>
              <w:t>student_name, roll_no, total_marks, is_finalized</w:t>
            </w:r>
          </w:p>
        </w:tc>
        <w:tc>
          <w:tcPr>
            <w:tcW w:type="dxa" w:w="2160"/>
          </w:tcPr>
          <w:p>
            <w:pPr>
              <w:pStyle w:val="TableCell"/>
            </w:pPr>
            <w:r>
              <w:rPr>
                <w:rFonts w:ascii="Times New Roman" w:hAnsi="Times New Roman"/>
                <w:sz w:val="19"/>
              </w:rPr>
              <w:t>FK to Examination, 1-to-Many to Pages</w:t>
            </w:r>
          </w:p>
        </w:tc>
        <w:tc>
          <w:tcPr>
            <w:tcW w:type="dxa" w:w="2592"/>
          </w:tcPr>
          <w:p>
            <w:pPr>
              <w:pStyle w:val="TableCell"/>
            </w:pPr>
            <w:r>
              <w:rPr>
                <w:rFonts w:ascii="Times New Roman" w:hAnsi="Times New Roman"/>
                <w:sz w:val="19"/>
              </w:rPr>
              <w:t>Index(fields=['examination', 'status']), Index(fields=['student_roll_no'])</w:t>
            </w:r>
          </w:p>
        </w:tc>
      </w:tr>
      <w:tr>
        <w:tc>
          <w:tcPr>
            <w:tcW w:type="dxa" w:w="2016"/>
            <w:shd w:fill="F8FAFC" w:val="clear"/>
          </w:tcPr>
          <w:p>
            <w:pPr>
              <w:pStyle w:val="TableCell"/>
            </w:pPr>
            <w:r>
              <w:rPr>
                <w:rFonts w:ascii="Times New Roman" w:hAnsi="Times New Roman"/>
                <w:sz w:val="19"/>
              </w:rPr>
              <w:t>SubmissionPage</w:t>
            </w:r>
          </w:p>
        </w:tc>
        <w:tc>
          <w:tcPr>
            <w:tcW w:type="dxa" w:w="2592"/>
            <w:shd w:fill="F8FAFC" w:val="clear"/>
          </w:tcPr>
          <w:p>
            <w:pPr>
              <w:pStyle w:val="TableCell"/>
            </w:pPr>
            <w:r>
              <w:rPr>
                <w:rFonts w:ascii="Times New Roman" w:hAnsi="Times New Roman"/>
                <w:sz w:val="19"/>
              </w:rPr>
              <w:t>page_number, page_image, ocr_text</w:t>
            </w:r>
          </w:p>
        </w:tc>
        <w:tc>
          <w:tcPr>
            <w:tcW w:type="dxa" w:w="2160"/>
            <w:shd w:fill="F8FAFC" w:val="clear"/>
          </w:tcPr>
          <w:p>
            <w:pPr>
              <w:pStyle w:val="TableCell"/>
            </w:pPr>
            <w:r>
              <w:rPr>
                <w:rFonts w:ascii="Times New Roman" w:hAnsi="Times New Roman"/>
                <w:sz w:val="19"/>
              </w:rPr>
              <w:t>FK to StudentSubmission</w:t>
            </w:r>
          </w:p>
        </w:tc>
        <w:tc>
          <w:tcPr>
            <w:tcW w:type="dxa" w:w="2592"/>
            <w:shd w:fill="F8FAFC" w:val="clear"/>
          </w:tcPr>
          <w:p>
            <w:pPr>
              <w:pStyle w:val="TableCell"/>
            </w:pPr>
            <w:r>
              <w:rPr>
                <w:rFonts w:ascii="Times New Roman" w:hAnsi="Times New Roman"/>
                <w:sz w:val="19"/>
              </w:rPr>
              <w:t>Index(fields=['submission', 'page_number'])</w:t>
            </w:r>
          </w:p>
        </w:tc>
      </w:tr>
      <w:tr>
        <w:tc>
          <w:tcPr>
            <w:tcW w:type="dxa" w:w="2016"/>
          </w:tcPr>
          <w:p>
            <w:pPr>
              <w:pStyle w:val="TableCell"/>
            </w:pPr>
            <w:r>
              <w:rPr>
                <w:rFonts w:ascii="Times New Roman" w:hAnsi="Times New Roman"/>
                <w:sz w:val="19"/>
              </w:rPr>
              <w:t>SubmissionAnswer</w:t>
            </w:r>
          </w:p>
        </w:tc>
        <w:tc>
          <w:tcPr>
            <w:tcW w:type="dxa" w:w="2592"/>
          </w:tcPr>
          <w:p>
            <w:pPr>
              <w:pStyle w:val="TableCell"/>
            </w:pPr>
            <w:r>
              <w:rPr>
                <w:rFonts w:ascii="Times New Roman" w:hAnsi="Times New Roman"/>
                <w:sz w:val="19"/>
              </w:rPr>
              <w:t>bounding_box, raw_ocr_text, final_marks</w:t>
            </w:r>
          </w:p>
        </w:tc>
        <w:tc>
          <w:tcPr>
            <w:tcW w:type="dxa" w:w="2160"/>
          </w:tcPr>
          <w:p>
            <w:pPr>
              <w:pStyle w:val="TableCell"/>
            </w:pPr>
            <w:r>
              <w:rPr>
                <w:rFonts w:ascii="Times New Roman" w:hAnsi="Times New Roman"/>
                <w:sz w:val="19"/>
              </w:rPr>
              <w:t>FK to Submission, FK to Question</w:t>
            </w:r>
          </w:p>
        </w:tc>
        <w:tc>
          <w:tcPr>
            <w:tcW w:type="dxa" w:w="2592"/>
          </w:tcPr>
          <w:p>
            <w:pPr>
              <w:pStyle w:val="TableCell"/>
            </w:pPr>
            <w:r>
              <w:rPr>
                <w:rFonts w:ascii="Times New Roman" w:hAnsi="Times New Roman"/>
                <w:sz w:val="19"/>
              </w:rPr>
              <w:t>Index(fields=['submission', 'question'])</w:t>
            </w:r>
          </w:p>
        </w:tc>
      </w:tr>
      <w:tr>
        <w:tc>
          <w:tcPr>
            <w:tcW w:type="dxa" w:w="2016"/>
            <w:shd w:fill="F8FAFC" w:val="clear"/>
          </w:tcPr>
          <w:p>
            <w:pPr>
              <w:pStyle w:val="TableCell"/>
            </w:pPr>
            <w:r>
              <w:rPr>
                <w:rFonts w:ascii="Times New Roman" w:hAnsi="Times New Roman"/>
                <w:sz w:val="19"/>
              </w:rPr>
              <w:t>EvaluationResult</w:t>
            </w:r>
          </w:p>
        </w:tc>
        <w:tc>
          <w:tcPr>
            <w:tcW w:type="dxa" w:w="2592"/>
            <w:shd w:fill="F8FAFC" w:val="clear"/>
          </w:tcPr>
          <w:p>
            <w:pPr>
              <w:pStyle w:val="TableCell"/>
            </w:pPr>
            <w:r>
              <w:rPr>
                <w:rFonts w:ascii="Times New Roman" w:hAnsi="Times New Roman"/>
                <w:sz w:val="19"/>
              </w:rPr>
              <w:t>obtained_marks, confidence_score, status</w:t>
            </w:r>
          </w:p>
        </w:tc>
        <w:tc>
          <w:tcPr>
            <w:tcW w:type="dxa" w:w="2160"/>
            <w:shd w:fill="F8FAFC" w:val="clear"/>
          </w:tcPr>
          <w:p>
            <w:pPr>
              <w:pStyle w:val="TableCell"/>
            </w:pPr>
            <w:r>
              <w:rPr>
                <w:rFonts w:ascii="Times New Roman" w:hAnsi="Times New Roman"/>
                <w:sz w:val="19"/>
              </w:rPr>
              <w:t>OneToOne to SubmissionAnswer</w:t>
            </w:r>
          </w:p>
        </w:tc>
        <w:tc>
          <w:tcPr>
            <w:tcW w:type="dxa" w:w="2592"/>
            <w:shd w:fill="F8FAFC" w:val="clear"/>
          </w:tcPr>
          <w:p>
            <w:pPr>
              <w:pStyle w:val="TableCell"/>
            </w:pPr>
            <w:r>
              <w:rPr>
                <w:rFonts w:ascii="Times New Roman" w:hAnsi="Times New Roman"/>
                <w:sz w:val="19"/>
              </w:rPr>
              <w:t>Index(fields=['status', 'requires_manual_review'])</w:t>
            </w:r>
          </w:p>
        </w:tc>
      </w:tr>
      <w:tr>
        <w:tc>
          <w:tcPr>
            <w:tcW w:type="dxa" w:w="2016"/>
          </w:tcPr>
          <w:p>
            <w:pPr>
              <w:pStyle w:val="TableCell"/>
            </w:pPr>
            <w:r>
              <w:rPr>
                <w:rFonts w:ascii="Times New Roman" w:hAnsi="Times New Roman"/>
                <w:sz w:val="19"/>
              </w:rPr>
              <w:t>TeacherReview</w:t>
            </w:r>
          </w:p>
        </w:tc>
        <w:tc>
          <w:tcPr>
            <w:tcW w:type="dxa" w:w="2592"/>
          </w:tcPr>
          <w:p>
            <w:pPr>
              <w:pStyle w:val="TableCell"/>
            </w:pPr>
            <w:r>
              <w:rPr>
                <w:rFonts w:ascii="Times New Roman" w:hAnsi="Times New Roman"/>
                <w:sz w:val="19"/>
              </w:rPr>
              <w:t>original_marks, final_marks, comments</w:t>
            </w:r>
          </w:p>
        </w:tc>
        <w:tc>
          <w:tcPr>
            <w:tcW w:type="dxa" w:w="2160"/>
          </w:tcPr>
          <w:p>
            <w:pPr>
              <w:pStyle w:val="TableCell"/>
            </w:pPr>
            <w:r>
              <w:rPr>
                <w:rFonts w:ascii="Times New Roman" w:hAnsi="Times New Roman"/>
                <w:sz w:val="19"/>
              </w:rPr>
              <w:t>FK to EvaluationResult, FK to Reviewer</w:t>
            </w:r>
          </w:p>
        </w:tc>
        <w:tc>
          <w:tcPr>
            <w:tcW w:type="dxa" w:w="2592"/>
          </w:tcPr>
          <w:p>
            <w:pPr>
              <w:pStyle w:val="TableCell"/>
            </w:pPr>
            <w:r>
              <w:rPr>
                <w:rFonts w:ascii="Times New Roman" w:hAnsi="Times New Roman"/>
                <w:sz w:val="19"/>
              </w:rPr>
              <w:t>Index(fields=['evaluation_result', 'created_at'])</w:t>
            </w:r>
          </w:p>
        </w:tc>
      </w:tr>
      <w:tr>
        <w:tc>
          <w:tcPr>
            <w:tcW w:type="dxa" w:w="2016"/>
            <w:shd w:fill="F8FAFC" w:val="clear"/>
          </w:tcPr>
          <w:p>
            <w:pPr>
              <w:pStyle w:val="TableCell"/>
            </w:pPr>
            <w:r>
              <w:rPr>
                <w:rFonts w:ascii="Times New Roman" w:hAnsi="Times New Roman"/>
                <w:sz w:val="19"/>
              </w:rPr>
              <w:t>QuestionMapping</w:t>
            </w:r>
          </w:p>
        </w:tc>
        <w:tc>
          <w:tcPr>
            <w:tcW w:type="dxa" w:w="2592"/>
            <w:shd w:fill="F8FAFC" w:val="clear"/>
          </w:tcPr>
          <w:p>
            <w:pPr>
              <w:pStyle w:val="TableCell"/>
            </w:pPr>
            <w:r>
              <w:rPr>
                <w:rFonts w:ascii="Times New Roman" w:hAnsi="Times New Roman"/>
                <w:sz w:val="19"/>
              </w:rPr>
              <w:t>page_numbers, mapping_status, is_confirmed</w:t>
            </w:r>
          </w:p>
        </w:tc>
        <w:tc>
          <w:tcPr>
            <w:tcW w:type="dxa" w:w="2160"/>
            <w:shd w:fill="F8FAFC" w:val="clear"/>
          </w:tcPr>
          <w:p>
            <w:pPr>
              <w:pStyle w:val="TableCell"/>
            </w:pPr>
            <w:r>
              <w:rPr>
                <w:rFonts w:ascii="Times New Roman" w:hAnsi="Times New Roman"/>
                <w:sz w:val="19"/>
              </w:rPr>
              <w:t>FK to Submission, FK to Question</w:t>
            </w:r>
          </w:p>
        </w:tc>
        <w:tc>
          <w:tcPr>
            <w:tcW w:type="dxa" w:w="2592"/>
            <w:shd w:fill="F8FAFC" w:val="clear"/>
          </w:tcPr>
          <w:p>
            <w:pPr>
              <w:pStyle w:val="TableCell"/>
            </w:pPr>
            <w:r>
              <w:rPr>
                <w:rFonts w:ascii="Times New Roman" w:hAnsi="Times New Roman"/>
                <w:sz w:val="19"/>
              </w:rPr>
              <w:t>Index(fields=['submission', 'mapping_status'])</w:t>
            </w:r>
          </w:p>
        </w:tc>
      </w:tr>
      <w:tr>
        <w:tc>
          <w:tcPr>
            <w:tcW w:type="dxa" w:w="2016"/>
          </w:tcPr>
          <w:p>
            <w:pPr>
              <w:pStyle w:val="TableCell"/>
            </w:pPr>
            <w:r>
              <w:rPr>
                <w:rFonts w:ascii="Times New Roman" w:hAnsi="Times New Roman"/>
                <w:sz w:val="19"/>
              </w:rPr>
              <w:t>CourseTabulation</w:t>
            </w:r>
          </w:p>
        </w:tc>
        <w:tc>
          <w:tcPr>
            <w:tcW w:type="dxa" w:w="2592"/>
          </w:tcPr>
          <w:p>
            <w:pPr>
              <w:pStyle w:val="TableCell"/>
            </w:pPr>
            <w:r>
              <w:rPr>
                <w:rFonts w:ascii="Times New Roman" w:hAnsi="Times New Roman"/>
                <w:sz w:val="19"/>
              </w:rPr>
              <w:t>semester, section, weightage_config</w:t>
            </w:r>
          </w:p>
        </w:tc>
        <w:tc>
          <w:tcPr>
            <w:tcW w:type="dxa" w:w="2160"/>
          </w:tcPr>
          <w:p>
            <w:pPr>
              <w:pStyle w:val="TableCell"/>
            </w:pPr>
            <w:r>
              <w:rPr>
                <w:rFonts w:ascii="Times New Roman" w:hAnsi="Times New Roman"/>
                <w:sz w:val="19"/>
              </w:rPr>
              <w:t>FK to Course, 1-to-Many to Records</w:t>
            </w:r>
          </w:p>
        </w:tc>
        <w:tc>
          <w:tcPr>
            <w:tcW w:type="dxa" w:w="2592"/>
          </w:tcPr>
          <w:p>
            <w:pPr>
              <w:pStyle w:val="TableCell"/>
            </w:pPr>
            <w:r>
              <w:rPr>
                <w:rFonts w:ascii="Times New Roman" w:hAnsi="Times New Roman"/>
                <w:sz w:val="19"/>
              </w:rPr>
              <w:t>Index(fields=['course', 'semester', 'section'])</w:t>
            </w:r>
          </w:p>
        </w:tc>
      </w:tr>
      <w:tr>
        <w:tc>
          <w:tcPr>
            <w:tcW w:type="dxa" w:w="2016"/>
            <w:shd w:fill="F8FAFC" w:val="clear"/>
          </w:tcPr>
          <w:p>
            <w:pPr>
              <w:pStyle w:val="TableCell"/>
            </w:pPr>
            <w:r>
              <w:rPr>
                <w:rFonts w:ascii="Times New Roman" w:hAnsi="Times New Roman"/>
                <w:sz w:val="19"/>
              </w:rPr>
              <w:t>StudentGradeRecord</w:t>
            </w:r>
          </w:p>
        </w:tc>
        <w:tc>
          <w:tcPr>
            <w:tcW w:type="dxa" w:w="2592"/>
            <w:shd w:fill="F8FAFC" w:val="clear"/>
          </w:tcPr>
          <w:p>
            <w:pPr>
              <w:pStyle w:val="TableCell"/>
            </w:pPr>
            <w:r>
              <w:rPr>
                <w:rFonts w:ascii="Times New Roman" w:hAnsi="Times New Roman"/>
                <w:sz w:val="19"/>
              </w:rPr>
              <w:t>student_id, ct_scores, mid, final, gpa, grade</w:t>
            </w:r>
          </w:p>
        </w:tc>
        <w:tc>
          <w:tcPr>
            <w:tcW w:type="dxa" w:w="2160"/>
            <w:shd w:fill="F8FAFC" w:val="clear"/>
          </w:tcPr>
          <w:p>
            <w:pPr>
              <w:pStyle w:val="TableCell"/>
            </w:pPr>
            <w:r>
              <w:rPr>
                <w:rFonts w:ascii="Times New Roman" w:hAnsi="Times New Roman"/>
                <w:sz w:val="19"/>
              </w:rPr>
              <w:t>FK to CourseTabulation</w:t>
            </w:r>
          </w:p>
        </w:tc>
        <w:tc>
          <w:tcPr>
            <w:tcW w:type="dxa" w:w="2592"/>
            <w:shd w:fill="F8FAFC" w:val="clear"/>
          </w:tcPr>
          <w:p>
            <w:pPr>
              <w:pStyle w:val="TableCell"/>
            </w:pPr>
            <w:r>
              <w:rPr>
                <w:rFonts w:ascii="Times New Roman" w:hAnsi="Times New Roman"/>
                <w:sz w:val="19"/>
              </w:rPr>
              <w:t>Index(fields=['tabulation', 'student_id']), Index(fields=['overall_score'])</w:t>
            </w:r>
          </w:p>
        </w:tc>
      </w:tr>
    </w:tbl>
    <w:p>
      <w:pPr>
        <w:pStyle w:val="TableDescription"/>
      </w:pPr>
      <w:r>
        <w:t>Table 3.2 details the primary relational database models implemented in IntelliGrade, specifying their key fields, foreign-key relationships, and composite B-tree indexes applied to optimize query throughput and eliminate database bottlenecks.</w:t>
      </w:r>
    </w:p>
    <w:p>
      <w:pPr>
        <w:pStyle w:val="Heading5"/>
      </w:pPr>
      <w:r>
        <w:t>3.3.2 Composite Indexing Strategy &amp; N+1 Query Elimination.</w:t>
      </w:r>
    </w:p>
    <w:p>
      <w:pPr>
        <w:pStyle w:val="C-BodyText"/>
      </w:pPr>
      <w:r>
        <w:t>In examination evaluation systems, concurrent querying of multi-page scripts, criteria scores, and student grades creates severe database contention. To achieve sub-second response times, targeted composite B-tree indexes and eager-loading optimizations were implemented:</w:t>
      </w:r>
    </w:p>
    <w:p>
      <w:pPr>
        <w:pStyle w:val="BulletedList"/>
      </w:pPr>
      <w:r>
        <w:t>Composite Database Indexes: Composite B-tree indexes were added via Django migration 0028: StudentSubmission on (examination, status), student_roll_no, and is_finalized; EvaluationResult on (status, requires_manual_review); QuestionMapping on (submission, mapping_status) and (submission, is_confirmed); and StudentGradeRecord on (tabulation, student_id), (tabulation, overall_score), and is_manually_edited.</w:t>
      </w:r>
    </w:p>
    <w:p>
      <w:pPr>
        <w:pStyle w:val="BulletedList"/>
      </w:pPr>
      <w:r>
        <w:t>Elimination of N+1 Query Leaks: The teacher evaluation workspace view was refactored to eliminate N+1 query loops by applying select_related('question__rubric', 'page', 'evaluation_result') and prefetch_related('question__figures_rel', 'question__tables_rel', 'question__formulas_rel'). This reduced query execution from 45 separate SQL statements per page load to just 2 optimized queries, reducing database latency by over 92%.</w:t>
      </w:r>
    </w:p>
    <w:p>
      <w:pPr>
        <w:pStyle w:val="Heading4"/>
      </w:pPr>
      <w:r>
        <w:t>3.4 AI Ingestion &amp; Preprocessing Pipeline</w:t>
      </w:r>
    </w:p>
    <w:p>
      <w:pPr>
        <w:pStyle w:val="BodyText"/>
      </w:pPr>
      <w:r>
        <w:t>3.4.1 AI Examination Routine Parsing &amp; Fuzzy Course Matching: Routine scheduling traditionally requires hours of manual data entry. IntelliGrade introduces an automated AI Routine Scanner that ingests multi-page PDF or image exam schedules. PyMuPDF renders pages at 300 DPI, PyTesseract extracts printed text lines, and a regular-expression parser extracts dates, time slots, course codes, course titles, sections, and assigned faculties. A local fuzzy token-overlap matcher matches extracted course codes against database courses with 0ms latency, enabling the Chief Exam Controller to review the parsed schedule and create all semester examinations with a single click, as shown in Figure 3.3.</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3.3</w:t>
            </w:r>
          </w:p>
          <w:p>
            <w:pPr/>
            <w:r>
              <w:rPr>
                <w:b/>
              </w:rPr>
              <w:t xml:space="preserve">• Target Visual Asset: </w:t>
            </w:r>
            <w:r>
              <w:t>Workflow diagram and UI screenshot of AI Exam Routine Ingestion</w:t>
            </w:r>
          </w:p>
          <w:p>
            <w:pPr/>
            <w:r>
              <w:rPr>
                <w:b/>
              </w:rPr>
              <w:t xml:space="preserve">• Project Reference / Path: </w:t>
            </w:r>
            <w:r>
              <w:t>mainproject/core/templates/core/scan_routine_ai.html &amp; views.py (scan_routine_ai)</w:t>
            </w:r>
          </w:p>
          <w:p>
            <w:pPr/>
            <w:r>
              <w:rPr>
                <w:b/>
              </w:rPr>
              <w:t xml:space="preserve">• Dimensions &amp; Alignment: </w:t>
            </w:r>
            <w:r>
              <w:t>Width: 6.0 in, Height: 3.5 in, Resolution: 300 DPI, Centered</w:t>
            </w:r>
          </w:p>
          <w:p>
            <w:pPr/>
            <w:r>
              <w:rPr>
                <w:b/>
                <w:color w:val="B45309"/>
              </w:rPr>
              <w:t xml:space="preserve">• Review Comment: </w:t>
            </w:r>
            <w:r>
              <w:t>Insert Figure 3.3 here: Workflow diagram and screenshot showing multi-page routine PDF upload, OCR line parsing, regex extraction, token-set course matching, and bulk exam generation.</w:t>
            </w:r>
          </w:p>
        </w:tc>
      </w:tr>
    </w:tbl>
    <w:p>
      <w:pPr>
        <w:pStyle w:val="FigureCell"/>
        <w:jc w:val="center"/>
      </w:pPr>
      <w:commentRangeStart w:id="3"/>
      <w:r>
        <w:rPr>
          <w:rFonts w:ascii="Times New Roman" w:hAnsi="Times New Roman"/>
          <w:b/>
          <w:sz w:val="22"/>
        </w:rPr>
        <w:t>Figure 3.3: AI Examination Routine Parsing &amp; Fuzzy Course Matching Flow</w:t>
      </w:r>
      <w:commentRangeEnd w:id="3"/>
      <w:r>
        <w:rPr>
          <w:rStyle w:val="CommentReference"/>
        </w:rPr>
        <w:commentReference w:id="3"/>
      </w:r>
    </w:p>
    <w:p>
      <w:pPr>
        <w:pStyle w:val="FigureDescription"/>
      </w:pPr>
      <w:r>
        <w:t>Figure 3.3 shows the operational sequence of the AI Examination Routine Scanner, highlighting multi-page document rendering, OCR-based text block extraction, zero-latency local course code fuzzy matching, and one-click scheduled examination creation.</w:t>
      </w:r>
    </w:p>
    <w:p>
      <w:pPr>
        <w:pStyle w:val="Heading5"/>
      </w:pPr>
      <w:r>
        <w:t>3.4.2 300 DPI Document Preprocessing, Deskewing &amp; Thresholding.</w:t>
      </w:r>
    </w:p>
    <w:p>
      <w:pPr>
        <w:pStyle w:val="C-BodyText"/>
      </w:pPr>
      <w:r>
        <w:t>Student submissions encompass diverse formats, including mobile phone photos and flatbed scanner PDFs with variable lighting, skew angles, and background noise. The image normalization pipeline standardizes all uploads into uniform 300 DPI working copies:</w:t>
      </w:r>
    </w:p>
    <w:p>
      <w:pPr>
        <w:pStyle w:val="BulletedList"/>
      </w:pPr>
      <w:r>
        <w:t>Resolution Normalization: PyMuPDF rasterizes document pages at 300 DPI (scaling factor 4.166 relative to standard 72 DPI PDF coordinates), yielding crisp 2480 x 3508 pixel matrices optimal for character edge recognition.</w:t>
      </w:r>
    </w:p>
    <w:p>
      <w:pPr>
        <w:pStyle w:val="BulletedList"/>
      </w:pPr>
      <w:r>
        <w:t>Hough Transform Deskewing: OpenCV computes edge gradients using Canny edge detection, identifies dominant document lines via Hough Line Transforms, and rotates skewed script images to perfect horizontal alignment (+/- 0.05 degrees).</w:t>
      </w:r>
    </w:p>
    <w:p>
      <w:pPr>
        <w:pStyle w:val="BulletedList"/>
      </w:pPr>
      <w:r>
        <w:t>Adaptive Binarization: Adaptive Gaussian thresholding and Otsu binarization eliminate shadow gradients and uneven illumination, maximizing contrast between handwritten ink strokes and paper backgrounds.</w:t>
      </w:r>
    </w:p>
    <w:p>
      <w:pPr>
        <w:pStyle w:val="BulletedList"/>
      </w:pPr>
      <w:r>
        <w:t>Dynamic Coordinate Normalization: All spatial bounding boxes are normalized to [ymin, xmin, ymax, xmax] coordinates relative to document dimensions [0.0, 1.0], ensuring device-independent rendering across canvas viewers.</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3.4</w:t>
            </w:r>
          </w:p>
          <w:p>
            <w:pPr/>
            <w:r>
              <w:rPr>
                <w:b/>
              </w:rPr>
              <w:t xml:space="preserve">• Target Visual Asset: </w:t>
            </w:r>
            <w:r>
              <w:t>Computer vision pipeline diagram illustrating image transformation stages</w:t>
            </w:r>
          </w:p>
          <w:p>
            <w:pPr/>
            <w:r>
              <w:rPr>
                <w:b/>
              </w:rPr>
              <w:t xml:space="preserve">• Project Reference / Path: </w:t>
            </w:r>
            <w:r>
              <w:t>docs/00-project-management/02-technology-stack.md &amp; core/ai_engine/preprocessing</w:t>
            </w:r>
          </w:p>
          <w:p>
            <w:pPr/>
            <w:r>
              <w:rPr>
                <w:b/>
              </w:rPr>
              <w:t xml:space="preserve">• Dimensions &amp; Alignment: </w:t>
            </w:r>
            <w:r>
              <w:t>Width: 6.0 in, Height: 3.2 in, Resolution: 300 DPI, Centered</w:t>
            </w:r>
          </w:p>
          <w:p>
            <w:pPr/>
            <w:r>
              <w:rPr>
                <w:b/>
                <w:color w:val="B45309"/>
              </w:rPr>
              <w:t xml:space="preserve">• Review Comment: </w:t>
            </w:r>
            <w:r>
              <w:t>Insert Figure 3.4 here: Image transformation sequence showing raw script capture, PyMuPDF 300 DPI rasterization, OpenCV Hough deskewing, Otsu adaptive thresholding, and coordinate normalization.</w:t>
            </w:r>
          </w:p>
        </w:tc>
      </w:tr>
    </w:tbl>
    <w:p>
      <w:pPr>
        <w:pStyle w:val="FigureCell"/>
        <w:jc w:val="center"/>
      </w:pPr>
      <w:commentRangeStart w:id="4"/>
      <w:r>
        <w:rPr>
          <w:rFonts w:ascii="Times New Roman" w:hAnsi="Times New Roman"/>
          <w:b/>
          <w:sz w:val="22"/>
        </w:rPr>
        <w:t>Figure 3.4: 300 DPI Document Preprocessing, Deskewing and Normalization Pipeline</w:t>
      </w:r>
      <w:commentRangeEnd w:id="4"/>
      <w:r>
        <w:rPr>
          <w:rStyle w:val="CommentReference"/>
        </w:rPr>
        <w:commentReference w:id="4"/>
      </w:r>
    </w:p>
    <w:p>
      <w:pPr>
        <w:pStyle w:val="FigureDescription"/>
      </w:pPr>
      <w:r>
        <w:t>Figure 3.4 demonstrates the image preprocessing and normalization sequence, showing how raw mobile captures and scanned PDFs are standardized to 300 DPI resolution, deskewed via Hough Line Transforms, binarized via adaptive Gaussian filtering, and prepared for OCR.</w:t>
      </w:r>
    </w:p>
    <w:p>
      <w:pPr>
        <w:pStyle w:val="Heading5"/>
      </w:pPr>
      <w:r>
        <w:t>3.4.3 Hybrid Multi-Engine Optical Character Recognition Cascade.</w:t>
      </w:r>
    </w:p>
    <w:p>
      <w:pPr>
        <w:pStyle w:val="C-BodyText"/>
      </w:pPr>
      <w:r>
        <w:t>To balance processing speed and recognition accuracy, IntelliGrade implements a hybrid multi-engine OCR cascade that selects the optimal engine based on document characteristics:</w:t>
      </w:r>
    </w:p>
    <w:p>
      <w:pPr>
        <w:pStyle w:val="BulletedList"/>
      </w:pPr>
      <w:r>
        <w:t>Tier 1 - PyMuPDF Native Glyph Extraction: If the uploaded script is a digital PDF containing embedded text glyphs, PyMuPDF extracts full text blocks with font metrics in under 5 milliseconds with 100% character accuracy.</w:t>
      </w:r>
    </w:p>
    <w:p>
      <w:pPr>
        <w:pStyle w:val="BulletedList"/>
      </w:pPr>
      <w:r>
        <w:t>Tier 2 - PyTesseract Printed OCR: For scanned documents containing printed text (such as exam question papers and routine schedules), PyTesseract v5.3 extracts text in 0.8 seconds per page with confidence scores exceeding 90%.</w:t>
      </w:r>
    </w:p>
    <w:p>
      <w:pPr>
        <w:pStyle w:val="BulletedList"/>
      </w:pPr>
      <w:r>
        <w:t>Tier 3 - EasyOCR Deep Learning Sequence Recognition: For handwritten student answer scripts, EasyOCR executes a CRAFT (Character Region Awareness for Text Detection) convolutional network followed by a Bidirectional LSTM recognizer on PyTorch CPU, accurately transcribing complex cursive handwriting.</w:t>
      </w:r>
    </w:p>
    <w:p>
      <w:pPr>
        <w:pStyle w:val="BulletedList"/>
      </w:pPr>
      <w:r>
        <w:t>Noise Filtering &amp; PostScript Sanitization: A specialized regex filter purges Skia PostScript printer glyph artifacts (such as node000123) produced by virtual PDF printer drivers, ensuring clean text streams.</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3.5</w:t>
            </w:r>
          </w:p>
          <w:p>
            <w:pPr/>
            <w:r>
              <w:rPr>
                <w:b/>
              </w:rPr>
              <w:t xml:space="preserve">• Target Visual Asset: </w:t>
            </w:r>
            <w:r>
              <w:t>Decision tree flowchart of multi-engine OCR fallback cascade</w:t>
            </w:r>
          </w:p>
          <w:p>
            <w:pPr/>
            <w:r>
              <w:rPr>
                <w:b/>
              </w:rPr>
              <w:t xml:space="preserve">• Project Reference / Path: </w:t>
            </w:r>
            <w:r>
              <w:t>docs/00-project-management/02-technology-stack.md (Section 2.3 OCR Flowchart)</w:t>
            </w:r>
          </w:p>
          <w:p>
            <w:pPr/>
            <w:r>
              <w:rPr>
                <w:b/>
              </w:rPr>
              <w:t xml:space="preserve">• Dimensions &amp; Alignment: </w:t>
            </w:r>
            <w:r>
              <w:t>Width: 6.0 in, Height: 3.2 in, Resolution: 300 DPI, Centered</w:t>
            </w:r>
          </w:p>
          <w:p>
            <w:pPr/>
            <w:r>
              <w:rPr>
                <w:b/>
                <w:color w:val="B45309"/>
              </w:rPr>
              <w:t xml:space="preserve">• Review Comment: </w:t>
            </w:r>
            <w:r>
              <w:t>Insert Figure 3.5 here: Flowchart showing decision logic: PyMuPDF font extraction -&gt; PyTesseract printed OCR -&gt; EasyOCR deep learning CRAFT+BiLSTM fallback on PyTorch CPU.</w:t>
            </w:r>
          </w:p>
        </w:tc>
      </w:tr>
    </w:tbl>
    <w:p>
      <w:pPr>
        <w:pStyle w:val="FigureCell"/>
        <w:jc w:val="center"/>
      </w:pPr>
      <w:commentRangeStart w:id="5"/>
      <w:r>
        <w:rPr>
          <w:rFonts w:ascii="Times New Roman" w:hAnsi="Times New Roman"/>
          <w:b/>
          <w:sz w:val="22"/>
        </w:rPr>
        <w:t>Figure 3.5: Hybrid Multi-Engine Optical Character Recognition (OCR) Cascade</w:t>
      </w:r>
      <w:commentRangeEnd w:id="5"/>
      <w:r>
        <w:rPr>
          <w:rStyle w:val="CommentReference"/>
        </w:rPr>
        <w:commentReference w:id="5"/>
      </w:r>
    </w:p>
    <w:p>
      <w:pPr>
        <w:pStyle w:val="FigureDescription"/>
      </w:pPr>
      <w:r>
        <w:t>Figure 3.5 diagrams the hybrid OCR cascade employed by IntelliGrade, balancing speed and accuracy by routing digital PDFs to PyMuPDF native font extraction, printed text to PyTesseract, and handwritten passages to EasyOCR deep neural networks.</w:t>
      </w:r>
    </w:p>
    <w:p>
      <w:pPr>
        <w:pStyle w:val="Heading5"/>
      </w:pPr>
      <w:r>
        <w:t>3.4.4 Question Boundary Discovery State Machine &amp; Spatial Mapping.</w:t>
      </w:r>
    </w:p>
    <w:p>
      <w:pPr>
        <w:pStyle w:val="C-BodyText"/>
      </w:pPr>
      <w:r>
        <w:t>A fundamental innovation of IntelliGrade is its start-of-line regex state machine that automatically identifies where each student answer begins and ends across multi-page scripts:</w:t>
      </w:r>
    </w:p>
    <w:p>
      <w:pPr>
        <w:pStyle w:val="BulletedList"/>
      </w:pPr>
      <w:r>
        <w:t>Heading Regex Detection: The detector identifies header variants (such as 'Answer to the Question No. 1', 'Ans to Q-2 (a)', 'Q3. Solution') anchored to start-of-line positions, strictly rejecting mid-paragraph occurrences, student metadata (Name, Roll, ID), and question paper prompts.</w:t>
      </w:r>
    </w:p>
    <w:p>
      <w:pPr>
        <w:pStyle w:val="BulletedList"/>
      </w:pPr>
      <w:r>
        <w:t>Spatial Page Slicing: Bounding box coordinates for each detected answer are recorded across consecutive pages, linking multi-page solutions into continuous answer segments.</w:t>
      </w:r>
    </w:p>
    <w:p>
      <w:pPr>
        <w:pStyle w:val="BulletedList"/>
      </w:pPr>
      <w:r>
        <w:t>Visual Crop &amp; Mapping Confirmation: Before AI scoring executes, examiners are presented with an interactive visual modal displaying thumbnail crops of detected answer regions. Examiners can drag boundary lines, adjust page assignments, or confirm mappings with a single click.</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3.6</w:t>
            </w:r>
          </w:p>
          <w:p>
            <w:pPr/>
            <w:r>
              <w:rPr>
                <w:b/>
              </w:rPr>
              <w:t xml:space="preserve">• Target Visual Asset: </w:t>
            </w:r>
            <w:r>
              <w:t>State machine transition diagram and script bounding box overlay screenshot</w:t>
            </w:r>
          </w:p>
          <w:p>
            <w:pPr/>
            <w:r>
              <w:rPr>
                <w:b/>
              </w:rPr>
              <w:t xml:space="preserve">• Project Reference / Path: </w:t>
            </w:r>
            <w:r>
              <w:t>mainproject/core/ai_engine/mapping/question_number_detector.py &amp; visual crop modal</w:t>
            </w:r>
          </w:p>
          <w:p>
            <w:pPr/>
            <w:r>
              <w:rPr>
                <w:b/>
              </w:rPr>
              <w:t xml:space="preserve">• Dimensions &amp; Alignment: </w:t>
            </w:r>
            <w:r>
              <w:t>Width: 6.0 in, Height: 3.8 in, Resolution: 300 DPI, Centered</w:t>
            </w:r>
          </w:p>
          <w:p>
            <w:pPr/>
            <w:r>
              <w:rPr>
                <w:b/>
                <w:color w:val="B45309"/>
              </w:rPr>
              <w:t xml:space="preserve">• Review Comment: </w:t>
            </w:r>
            <w:r>
              <w:t>Insert Figure 3.6 here: State machine diagram showing regex header matching ('Answer to Question No. X'), page region slicing, and teacher visual crop confirmation modal.</w:t>
            </w:r>
          </w:p>
        </w:tc>
      </w:tr>
    </w:tbl>
    <w:p>
      <w:pPr>
        <w:pStyle w:val="FigureCell"/>
        <w:jc w:val="center"/>
      </w:pPr>
      <w:commentRangeStart w:id="6"/>
      <w:r>
        <w:rPr>
          <w:rFonts w:ascii="Times New Roman" w:hAnsi="Times New Roman"/>
          <w:b/>
          <w:sz w:val="22"/>
        </w:rPr>
        <w:t>Figure 3.6: Question Boundary Discovery State Machine &amp; Spatial Mapping</w:t>
      </w:r>
      <w:commentRangeEnd w:id="6"/>
      <w:r>
        <w:rPr>
          <w:rStyle w:val="CommentReference"/>
        </w:rPr>
        <w:commentReference w:id="6"/>
      </w:r>
    </w:p>
    <w:p>
      <w:pPr>
        <w:pStyle w:val="FigureDescription"/>
      </w:pPr>
      <w:r>
        <w:t>Figure 3.6 illustrates the start-of-line regex state machine that parses student answer boundaries across multi-page scripts, segments spatial bounding boxes, and presents an interactive visual confirmation modal for examiner verification.</w:t>
      </w:r>
    </w:p>
    <w:p>
      <w:pPr>
        <w:pStyle w:val="Heading4"/>
      </w:pPr>
      <w:r>
        <w:t>3.5 Dual Evaluation Workbenches &amp; Multi-Provider AI Failover</w:t>
      </w:r>
    </w:p>
    <w:p>
      <w:pPr>
        <w:pStyle w:val="BodyText"/>
      </w:pPr>
      <w:r>
        <w:t>Recognizing diverse academic environments and institutional constraints, IntelliGrade provides two distinct evaluation pipelines: (1) The Automated AI Evaluation Wizard (v3.0) and (2) The Fast-Track Manual Script Grading Wizard.</w:t>
      </w:r>
    </w:p>
    <w:p>
      <w:pPr>
        <w:pStyle w:val="BodyText"/>
      </w:pPr>
      <w:r>
        <w:t>3.5.1 Automated AI Evaluation Wizard (v3.0) Workflow: The AI Wizard delivers an automated, end-to-end evaluation flow. The faculty examiner uploads multi-page script PDFs or image batches; the system renders 300 DPI working copies, runs OCR, detects question headers, maps answers to rubric items, and launches the AI scoring orchestrator. Bounding boxes and extracted texts are passed to the multi-provider failover engine, generating preliminary scores, criteria breakdowns, strengths, and mistakes within seconds, as illustrated in Figure 3.7.</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3.7</w:t>
            </w:r>
          </w:p>
          <w:p>
            <w:pPr/>
            <w:r>
              <w:rPr>
                <w:b/>
              </w:rPr>
              <w:t xml:space="preserve">• Target Visual Asset: </w:t>
            </w:r>
            <w:r>
              <w:t>Step-by-step UI screenshot sequence of AI Evaluation Wizard v3.0</w:t>
            </w:r>
          </w:p>
          <w:p>
            <w:pPr/>
            <w:r>
              <w:rPr>
                <w:b/>
              </w:rPr>
              <w:t xml:space="preserve">• Project Reference / Path: </w:t>
            </w:r>
            <w:r>
              <w:t>mainproject/core/templates/core/evaluation_wizard.html</w:t>
            </w:r>
          </w:p>
          <w:p>
            <w:pPr/>
            <w:r>
              <w:rPr>
                <w:b/>
              </w:rPr>
              <w:t xml:space="preserve">• Dimensions &amp; Alignment: </w:t>
            </w:r>
            <w:r>
              <w:t>Width: 6.2 in, Height: 4.0 in, Resolution: 300 DPI, Centered</w:t>
            </w:r>
          </w:p>
          <w:p>
            <w:pPr/>
            <w:r>
              <w:rPr>
                <w:b/>
                <w:color w:val="B45309"/>
              </w:rPr>
              <w:t xml:space="preserve">• Review Comment: </w:t>
            </w:r>
            <w:r>
              <w:t>Insert Figure 3.7 here: Screenshot walkthrough of AI Wizard v3.0 showing script upload, OCR progress, heading detection review, multi-provider scoring, and summary generation.</w:t>
            </w:r>
          </w:p>
        </w:tc>
      </w:tr>
    </w:tbl>
    <w:p>
      <w:pPr>
        <w:pStyle w:val="FigureCell"/>
        <w:jc w:val="center"/>
      </w:pPr>
      <w:commentRangeStart w:id="7"/>
      <w:r>
        <w:rPr>
          <w:rFonts w:ascii="Times New Roman" w:hAnsi="Times New Roman"/>
          <w:b/>
          <w:sz w:val="22"/>
        </w:rPr>
        <w:t>Figure 3.7: Automated AI Evaluation Wizard (v3.0) Operational Workflow</w:t>
      </w:r>
      <w:commentRangeEnd w:id="7"/>
      <w:r>
        <w:rPr>
          <w:rStyle w:val="CommentReference"/>
        </w:rPr>
        <w:commentReference w:id="7"/>
      </w:r>
    </w:p>
    <w:p>
      <w:pPr>
        <w:pStyle w:val="FigureDescription"/>
      </w:pPr>
      <w:r>
        <w:t>Figure 3.7 captures the multi-step interface of the Automated AI Evaluation Wizard (v3.0), guiding faculty through script upload, automatic boundary segmentation, teacher boundary confirmation, failover AI execution, and preliminary scoring.</w:t>
      </w:r>
    </w:p>
    <w:p>
      <w:pPr>
        <w:pStyle w:val="Heading5"/>
      </w:pPr>
      <w:r>
        <w:t>3.5.2 Fast-Track Manual Script Grading Wizard.</w:t>
      </w:r>
    </w:p>
    <w:p>
      <w:pPr>
        <w:pStyle w:val="C-BodyText"/>
      </w:pPr>
      <w:r>
        <w:t>For examiners who prefer direct manual grading without AI involvement, or during emergency examinations where OCR computation time cannot be spared, IntelliGrade provides a dedicated Fast-Track Manual Script Grading Wizard:</w:t>
      </w:r>
    </w:p>
    <w:p>
      <w:pPr>
        <w:pStyle w:val="BulletedList"/>
      </w:pPr>
      <w:r>
        <w:t>Zero AI &amp; Zero OCR Overhead: The manual wizard bypasses PyTesseract, EasyOCR, and AI provider calls entirely, slicing multi-page PDFs into high-resolution images in under 1 second via api_wizard_upload_pdf.</w:t>
      </w:r>
    </w:p>
    <w:p>
      <w:pPr>
        <w:pStyle w:val="BulletedList"/>
      </w:pPr>
      <w:r>
        <w:t>Checkbox Mapping Matrix: Faculty members assign pages to questions using an intuitive visual checkbox matrix (e.g., checking Page 1 and 2 for Question 1, Page 3 for Question 2).</w:t>
      </w:r>
    </w:p>
    <w:p>
      <w:pPr>
        <w:pStyle w:val="BulletedList"/>
      </w:pPr>
      <w:r>
        <w:t>Instant Workbench Launch: Clicking 'Launch Manual Workbench' immediately opens the split-screen grading workspace with full pan/zoom canvas controls, allowing the examiner to grade scripts manually with zero latency.</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3.8</w:t>
            </w:r>
          </w:p>
          <w:p>
            <w:pPr/>
            <w:r>
              <w:rPr>
                <w:b/>
              </w:rPr>
              <w:t xml:space="preserve">• Target Visual Asset: </w:t>
            </w:r>
            <w:r>
              <w:t>UI screenshot of Manual Evaluation Wizard and page-slicing interface</w:t>
            </w:r>
          </w:p>
          <w:p>
            <w:pPr/>
            <w:r>
              <w:rPr>
                <w:b/>
              </w:rPr>
              <w:t xml:space="preserve">• Project Reference / Path: </w:t>
            </w:r>
            <w:r>
              <w:t>mainproject/core/templates/core/manual_evaluation_wizard.html</w:t>
            </w:r>
          </w:p>
          <w:p>
            <w:pPr/>
            <w:r>
              <w:rPr>
                <w:b/>
              </w:rPr>
              <w:t xml:space="preserve">• Dimensions &amp; Alignment: </w:t>
            </w:r>
            <w:r>
              <w:t>Width: 6.0 in, Height: 3.5 in, Resolution: 300 DPI, Centered</w:t>
            </w:r>
          </w:p>
          <w:p>
            <w:pPr/>
            <w:r>
              <w:rPr>
                <w:b/>
                <w:color w:val="B45309"/>
              </w:rPr>
              <w:t xml:space="preserve">• Review Comment: </w:t>
            </w:r>
            <w:r>
              <w:t>Insert Figure 3.8 here: Screenshot of manual wizard showing fast PDF page slicing, checkbox question-to-page matrix assignment, and direct transition to split-screen grading without AI/OCR overhead.</w:t>
            </w:r>
          </w:p>
        </w:tc>
      </w:tr>
    </w:tbl>
    <w:p>
      <w:pPr>
        <w:pStyle w:val="FigureCell"/>
        <w:jc w:val="center"/>
      </w:pPr>
      <w:commentRangeStart w:id="8"/>
      <w:r>
        <w:rPr>
          <w:rFonts w:ascii="Times New Roman" w:hAnsi="Times New Roman"/>
          <w:b/>
          <w:sz w:val="22"/>
        </w:rPr>
        <w:t>Figure 3.8: Fast-Track Manual Script Grading Wizard Workflow</w:t>
      </w:r>
      <w:commentRangeEnd w:id="8"/>
      <w:r>
        <w:rPr>
          <w:rStyle w:val="CommentReference"/>
        </w:rPr>
        <w:commentReference w:id="8"/>
      </w:r>
    </w:p>
    <w:p>
      <w:pPr>
        <w:pStyle w:val="FigureDescription"/>
      </w:pPr>
      <w:r>
        <w:t>Figure 3.8 displays the Fast-Track Manual Script Grading Wizard, providing a high-speed, zero-AI fallback pipeline that slices PDF pages instantly, lets examiners assign pages via checkbox matrices, and launches the grading workbench without OCR delays.</w:t>
      </w:r>
    </w:p>
    <w:p>
      <w:pPr>
        <w:pStyle w:val="Heading5"/>
      </w:pPr>
      <w:r>
        <w:t>3.5.3 Resilient Multi-Provider AI Evaluation Failover Architecture.</w:t>
      </w:r>
    </w:p>
    <w:p>
      <w:pPr>
        <w:pStyle w:val="C-BodyText"/>
      </w:pPr>
      <w:r>
        <w:t>A critical technical barrier in AI-assisted evaluation is cloud API instability, quota exhaustion (HTTP 429), and network latency. IntelliGrade solves this through a fault-tolerant multi-provider failover orchestrator featuring rate-limit cooldown registries and local vision downsampling:</w:t>
      </w:r>
    </w:p>
    <w:p>
      <w:pPr>
        <w:pStyle w:val="BulletedList"/>
      </w:pPr>
      <w:r>
        <w:t>Tier 1 - Local Offline Vision (Moondream2 / Ollama): Operates completely offline with zero API token cost. Images are downsampled to 800px width using LANCZOS interpolation and compressed to JPEG quality 75, reducing memory footprint and executing on standard CPUs in ~14 seconds.</w:t>
      </w:r>
    </w:p>
    <w:p>
      <w:pPr>
        <w:pStyle w:val="BulletedList"/>
      </w:pPr>
      <w:r>
        <w:t>Tier 2 - High-Speed Cloud LLM (Groq Llama-3.3 70B): Delivers sub-second reasoning execution (0.8s per answer) for text-heavy evaluations using Groq's specialized Language Processing Units (LPU).</w:t>
      </w:r>
    </w:p>
    <w:p>
      <w:pPr>
        <w:pStyle w:val="BulletedList"/>
      </w:pPr>
      <w:r>
        <w:t>Tier 3 - Cloud Gateway Aggregator (OpenRouter): Acts as a dynamic routing gateway to secondary commercial and open-source models (Claude 3.5, Mistral Large, DeepSeek V3).</w:t>
      </w:r>
    </w:p>
    <w:p>
      <w:pPr>
        <w:pStyle w:val="BulletedList"/>
      </w:pPr>
      <w:r>
        <w:t>Tier 4 - Advanced Multimodal Vision (Google Gemini 2.5 Flash / OpenAI GPT-4o): Evaluates complex hand-drawn diagrams, circuit schematics, and mathematical proofs requiring high-capacity visual grounding.</w:t>
      </w:r>
    </w:p>
    <w:p>
      <w:pPr>
        <w:pStyle w:val="BulletedList"/>
      </w:pPr>
      <w:r>
        <w:t>Rate-Limit Cooldown Registry: When a cloud provider returns an HTTP 429 rate-limit error, the TaskRouter automatically flags the provider in the AIProviderHealth registry, enforcing an immutable 120-second cooldown and instantly routing the request to the next available provider without failing the user's grading session.</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3.9</w:t>
            </w:r>
          </w:p>
          <w:p>
            <w:pPr/>
            <w:r>
              <w:rPr>
                <w:b/>
              </w:rPr>
              <w:t xml:space="preserve">• Target Visual Asset: </w:t>
            </w:r>
            <w:r>
              <w:t>Failover cascade architecture diagram with rate-limit and cooldown registries</w:t>
            </w:r>
          </w:p>
          <w:p>
            <w:pPr/>
            <w:r>
              <w:rPr>
                <w:b/>
              </w:rPr>
              <w:t xml:space="preserve">• Project Reference / Path: </w:t>
            </w:r>
            <w:r>
              <w:t>docs/MASTER_SYSTEM_REPORT.md &amp; core/ai_engine/providers</w:t>
            </w:r>
          </w:p>
          <w:p>
            <w:pPr/>
            <w:r>
              <w:rPr>
                <w:b/>
              </w:rPr>
              <w:t xml:space="preserve">• Dimensions &amp; Alignment: </w:t>
            </w:r>
            <w:r>
              <w:t>Width: 6.2 in, Height: 3.8 in, Resolution: 300 DPI, Centered</w:t>
            </w:r>
          </w:p>
          <w:p>
            <w:pPr/>
            <w:r>
              <w:rPr>
                <w:b/>
                <w:color w:val="B45309"/>
              </w:rPr>
              <w:t xml:space="preserve">• Review Comment: </w:t>
            </w:r>
            <w:r>
              <w:t>Insert Figure 3.9 here: Resilient failover diagram showing TaskRouter routing between Local Moondream2 (800px LANCZOS), Groq Llama-3.3 70B, OpenRouter, Gemini 2.5 Flash, and OpenAI GPT-4o with 429 rate limit backoff.</w:t>
            </w:r>
          </w:p>
        </w:tc>
      </w:tr>
    </w:tbl>
    <w:p>
      <w:pPr>
        <w:pStyle w:val="FigureCell"/>
        <w:jc w:val="center"/>
      </w:pPr>
      <w:commentRangeStart w:id="9"/>
      <w:r>
        <w:rPr>
          <w:rFonts w:ascii="Times New Roman" w:hAnsi="Times New Roman"/>
          <w:b/>
          <w:sz w:val="22"/>
        </w:rPr>
        <w:t>Figure 3.9: Resilient Multi-Provider AI Evaluation Failover Architecture</w:t>
      </w:r>
      <w:commentRangeEnd w:id="9"/>
      <w:r>
        <w:rPr>
          <w:rStyle w:val="CommentReference"/>
        </w:rPr>
        <w:commentReference w:id="9"/>
      </w:r>
    </w:p>
    <w:p>
      <w:pPr>
        <w:pStyle w:val="FigureDescription"/>
      </w:pPr>
      <w:r>
        <w:t>Figure 3.9 diagrams the multi-provider AI failover architecture, demonstrating dynamic task routing, 429 quota exhaustion cooldown registries, local offline vision fallback, and JSON response sanitization.</w:t>
      </w:r>
    </w:p>
    <w:p>
      <w:pPr>
        <w:pStyle w:val="Heading5"/>
      </w:pPr>
      <w:r>
        <w:t>3.5.4 23-Taxonomy OBE Scoring &amp; JSON LaTeX Repair Engine.</w:t>
      </w:r>
    </w:p>
    <w:p>
      <w:pPr>
        <w:pStyle w:val="C-BodyText"/>
      </w:pPr>
      <w:r>
        <w:t>The evaluation engine structures prompt payloads around the 23-taxonomy IUBAT OBE metadata, requiring AI models to return strictly validated JSON structures. A post-processing JSON repair engine sanitizes unescaped backslashes in mathematical formulas (such as LaTeX matrices and fractions) and validates criteria marks against maximum question bounds. Table 3.3 summarizes the 23 OBE fields.</w:t>
      </w:r>
    </w:p>
    <w:p>
      <w:pPr>
        <w:pStyle w:val="TableTitle"/>
      </w:pPr>
      <w:r>
        <w:rPr>
          <w:rFonts w:ascii="Times New Roman" w:hAnsi="Times New Roman"/>
          <w:b/>
        </w:rPr>
        <w:t>Table 3.3: 23-Taxonomy IUBAT OBE Classification Fields &amp; Rubric Mark Distribution</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2E8F0"/>
          <w:insideV w:val="none"/>
          <w:left w:val="none"/>
          <w:right w:val="none"/>
        </w:tblBorders>
      </w:tblPr>
      <w:tblGrid>
        <w:gridCol w:w="2250"/>
        <w:gridCol w:w="2250"/>
        <w:gridCol w:w="2250"/>
        <w:gridCol w:w="2250"/>
      </w:tblGrid>
      <w:tr>
        <w:tc>
          <w:tcPr>
            <w:tcW w:type="dxa" w:w="2016"/>
            <w:shd w:fill="D9E1F2" w:val="clear"/>
          </w:tcPr>
          <w:p>
            <w:pPr>
              <w:pStyle w:val="TableCell"/>
            </w:pPr>
            <w:r>
              <w:rPr>
                <w:rFonts w:ascii="Times New Roman" w:hAnsi="Times New Roman"/>
                <w:b/>
                <w:sz w:val="20"/>
              </w:rPr>
              <w:t>Taxonomy Category</w:t>
            </w:r>
          </w:p>
        </w:tc>
        <w:tc>
          <w:tcPr>
            <w:tcW w:type="dxa" w:w="2592"/>
            <w:shd w:fill="D9E1F2" w:val="clear"/>
          </w:tcPr>
          <w:p>
            <w:pPr>
              <w:pStyle w:val="TableCell"/>
            </w:pPr>
            <w:r>
              <w:rPr>
                <w:rFonts w:ascii="Times New Roman" w:hAnsi="Times New Roman"/>
                <w:b/>
                <w:sz w:val="20"/>
              </w:rPr>
              <w:t>Specific Metadata Field</w:t>
            </w:r>
          </w:p>
        </w:tc>
        <w:tc>
          <w:tcPr>
            <w:tcW w:type="dxa" w:w="2160"/>
            <w:shd w:fill="D9E1F2" w:val="clear"/>
          </w:tcPr>
          <w:p>
            <w:pPr>
              <w:pStyle w:val="TableCell"/>
            </w:pPr>
            <w:r>
              <w:rPr>
                <w:rFonts w:ascii="Times New Roman" w:hAnsi="Times New Roman"/>
                <w:b/>
                <w:sz w:val="20"/>
              </w:rPr>
              <w:t>Allowed Values / Formats</w:t>
            </w:r>
          </w:p>
        </w:tc>
        <w:tc>
          <w:tcPr>
            <w:tcW w:type="dxa" w:w="2592"/>
            <w:shd w:fill="D9E1F2" w:val="clear"/>
          </w:tcPr>
          <w:p>
            <w:pPr>
              <w:pStyle w:val="TableCell"/>
            </w:pPr>
            <w:r>
              <w:rPr>
                <w:rFonts w:ascii="Times New Roman" w:hAnsi="Times New Roman"/>
                <w:b/>
                <w:sz w:val="20"/>
              </w:rPr>
              <w:t>Role in Assessment &amp; Accreditation</w:t>
            </w:r>
          </w:p>
        </w:tc>
      </w:tr>
      <w:tr>
        <w:tc>
          <w:tcPr>
            <w:tcW w:type="dxa" w:w="2016"/>
          </w:tcPr>
          <w:p>
            <w:pPr>
              <w:pStyle w:val="TableCell"/>
            </w:pPr>
            <w:r>
              <w:rPr>
                <w:rFonts w:ascii="Times New Roman" w:hAnsi="Times New Roman"/>
                <w:sz w:val="19"/>
              </w:rPr>
              <w:t>Cognitive Domain</w:t>
            </w:r>
          </w:p>
        </w:tc>
        <w:tc>
          <w:tcPr>
            <w:tcW w:type="dxa" w:w="2592"/>
          </w:tcPr>
          <w:p>
            <w:pPr>
              <w:pStyle w:val="TableCell"/>
            </w:pPr>
            <w:r>
              <w:rPr>
                <w:rFonts w:ascii="Times New Roman" w:hAnsi="Times New Roman"/>
                <w:sz w:val="19"/>
              </w:rPr>
              <w:t>Bloom's Taxonomy Level</w:t>
            </w:r>
          </w:p>
        </w:tc>
        <w:tc>
          <w:tcPr>
            <w:tcW w:type="dxa" w:w="2160"/>
          </w:tcPr>
          <w:p>
            <w:pPr>
              <w:pStyle w:val="TableCell"/>
            </w:pPr>
            <w:r>
              <w:rPr>
                <w:rFonts w:ascii="Times New Roman" w:hAnsi="Times New Roman"/>
                <w:sz w:val="19"/>
              </w:rPr>
              <w:t>Remember, Understand, Apply, Analyze, Evaluate, Create</w:t>
            </w:r>
          </w:p>
        </w:tc>
        <w:tc>
          <w:tcPr>
            <w:tcW w:type="dxa" w:w="2592"/>
          </w:tcPr>
          <w:p>
            <w:pPr>
              <w:pStyle w:val="TableCell"/>
            </w:pPr>
            <w:r>
              <w:rPr>
                <w:rFonts w:ascii="Times New Roman" w:hAnsi="Times New Roman"/>
                <w:sz w:val="19"/>
              </w:rPr>
              <w:t>Measures student cognitive complexity according to revised Bloom's taxonomy.</w:t>
            </w:r>
          </w:p>
        </w:tc>
      </w:tr>
      <w:tr>
        <w:tc>
          <w:tcPr>
            <w:tcW w:type="dxa" w:w="2016"/>
            <w:shd w:fill="F8FAFC" w:val="clear"/>
          </w:tcPr>
          <w:p>
            <w:pPr>
              <w:pStyle w:val="TableCell"/>
            </w:pPr>
            <w:r>
              <w:rPr>
                <w:rFonts w:ascii="Times New Roman" w:hAnsi="Times New Roman"/>
                <w:sz w:val="19"/>
              </w:rPr>
              <w:t>Course Outcomes</w:t>
            </w:r>
          </w:p>
        </w:tc>
        <w:tc>
          <w:tcPr>
            <w:tcW w:type="dxa" w:w="2592"/>
            <w:shd w:fill="F8FAFC" w:val="clear"/>
          </w:tcPr>
          <w:p>
            <w:pPr>
              <w:pStyle w:val="TableCell"/>
            </w:pPr>
            <w:r>
              <w:rPr>
                <w:rFonts w:ascii="Times New Roman" w:hAnsi="Times New Roman"/>
                <w:sz w:val="19"/>
              </w:rPr>
              <w:t>CO Mapping</w:t>
            </w:r>
          </w:p>
        </w:tc>
        <w:tc>
          <w:tcPr>
            <w:tcW w:type="dxa" w:w="2160"/>
            <w:shd w:fill="F8FAFC" w:val="clear"/>
          </w:tcPr>
          <w:p>
            <w:pPr>
              <w:pStyle w:val="TableCell"/>
            </w:pPr>
            <w:r>
              <w:rPr>
                <w:rFonts w:ascii="Times New Roman" w:hAnsi="Times New Roman"/>
                <w:sz w:val="19"/>
              </w:rPr>
              <w:t>CO1, CO2, CO3, CO4, CO5, CO6</w:t>
            </w:r>
          </w:p>
        </w:tc>
        <w:tc>
          <w:tcPr>
            <w:tcW w:type="dxa" w:w="2592"/>
            <w:shd w:fill="F8FAFC" w:val="clear"/>
          </w:tcPr>
          <w:p>
            <w:pPr>
              <w:pStyle w:val="TableCell"/>
            </w:pPr>
            <w:r>
              <w:rPr>
                <w:rFonts w:ascii="Times New Roman" w:hAnsi="Times New Roman"/>
                <w:sz w:val="19"/>
              </w:rPr>
              <w:t>Maps question marks directly to specific course learning outcomes for OBE.</w:t>
            </w:r>
          </w:p>
        </w:tc>
      </w:tr>
      <w:tr>
        <w:tc>
          <w:tcPr>
            <w:tcW w:type="dxa" w:w="2016"/>
          </w:tcPr>
          <w:p>
            <w:pPr>
              <w:pStyle w:val="TableCell"/>
            </w:pPr>
            <w:r>
              <w:rPr>
                <w:rFonts w:ascii="Times New Roman" w:hAnsi="Times New Roman"/>
                <w:sz w:val="19"/>
              </w:rPr>
              <w:t>Program Outcomes</w:t>
            </w:r>
          </w:p>
        </w:tc>
        <w:tc>
          <w:tcPr>
            <w:tcW w:type="dxa" w:w="2592"/>
          </w:tcPr>
          <w:p>
            <w:pPr>
              <w:pStyle w:val="TableCell"/>
            </w:pPr>
            <w:r>
              <w:rPr>
                <w:rFonts w:ascii="Times New Roman" w:hAnsi="Times New Roman"/>
                <w:sz w:val="19"/>
              </w:rPr>
              <w:t>PO Mapping</w:t>
            </w:r>
          </w:p>
        </w:tc>
        <w:tc>
          <w:tcPr>
            <w:tcW w:type="dxa" w:w="2160"/>
          </w:tcPr>
          <w:p>
            <w:pPr>
              <w:pStyle w:val="TableCell"/>
            </w:pPr>
            <w:r>
              <w:rPr>
                <w:rFonts w:ascii="Times New Roman" w:hAnsi="Times New Roman"/>
                <w:sz w:val="19"/>
              </w:rPr>
              <w:t>PO1 to PO12 (Graduate Attributes)</w:t>
            </w:r>
          </w:p>
        </w:tc>
        <w:tc>
          <w:tcPr>
            <w:tcW w:type="dxa" w:w="2592"/>
          </w:tcPr>
          <w:p>
            <w:pPr>
              <w:pStyle w:val="TableCell"/>
            </w:pPr>
            <w:r>
              <w:rPr>
                <w:rFonts w:ascii="Times New Roman" w:hAnsi="Times New Roman"/>
                <w:sz w:val="19"/>
              </w:rPr>
              <w:t>Assesses engineering graduate attributes mandated by BAETE and Washington Accord.</w:t>
            </w:r>
          </w:p>
        </w:tc>
      </w:tr>
      <w:tr>
        <w:tc>
          <w:tcPr>
            <w:tcW w:type="dxa" w:w="2016"/>
            <w:shd w:fill="F8FAFC" w:val="clear"/>
          </w:tcPr>
          <w:p>
            <w:pPr>
              <w:pStyle w:val="TableCell"/>
            </w:pPr>
            <w:r>
              <w:rPr>
                <w:rFonts w:ascii="Times New Roman" w:hAnsi="Times New Roman"/>
                <w:sz w:val="19"/>
              </w:rPr>
              <w:t>Knowledge Profile</w:t>
            </w:r>
          </w:p>
        </w:tc>
        <w:tc>
          <w:tcPr>
            <w:tcW w:type="dxa" w:w="2592"/>
            <w:shd w:fill="F8FAFC" w:val="clear"/>
          </w:tcPr>
          <w:p>
            <w:pPr>
              <w:pStyle w:val="TableCell"/>
            </w:pPr>
            <w:r>
              <w:rPr>
                <w:rFonts w:ascii="Times New Roman" w:hAnsi="Times New Roman"/>
                <w:sz w:val="19"/>
              </w:rPr>
              <w:t>KP Classification</w:t>
            </w:r>
          </w:p>
        </w:tc>
        <w:tc>
          <w:tcPr>
            <w:tcW w:type="dxa" w:w="2160"/>
            <w:shd w:fill="F8FAFC" w:val="clear"/>
          </w:tcPr>
          <w:p>
            <w:pPr>
              <w:pStyle w:val="TableCell"/>
            </w:pPr>
            <w:r>
              <w:rPr>
                <w:rFonts w:ascii="Times New Roman" w:hAnsi="Times New Roman"/>
                <w:sz w:val="19"/>
              </w:rPr>
              <w:t>KP1 (Natural Science) to KP8 (Research)</w:t>
            </w:r>
          </w:p>
        </w:tc>
        <w:tc>
          <w:tcPr>
            <w:tcW w:type="dxa" w:w="2592"/>
            <w:shd w:fill="F8FAFC" w:val="clear"/>
          </w:tcPr>
          <w:p>
            <w:pPr>
              <w:pStyle w:val="TableCell"/>
            </w:pPr>
            <w:r>
              <w:rPr>
                <w:rFonts w:ascii="Times New Roman" w:hAnsi="Times New Roman"/>
                <w:sz w:val="19"/>
              </w:rPr>
              <w:t>Classifies the engineering knowledge domain required to answer the prompt.</w:t>
            </w:r>
          </w:p>
        </w:tc>
      </w:tr>
      <w:tr>
        <w:tc>
          <w:tcPr>
            <w:tcW w:type="dxa" w:w="2016"/>
          </w:tcPr>
          <w:p>
            <w:pPr>
              <w:pStyle w:val="TableCell"/>
            </w:pPr>
            <w:r>
              <w:rPr>
                <w:rFonts w:ascii="Times New Roman" w:hAnsi="Times New Roman"/>
                <w:sz w:val="19"/>
              </w:rPr>
              <w:t>Engineering Problem</w:t>
            </w:r>
          </w:p>
        </w:tc>
        <w:tc>
          <w:tcPr>
            <w:tcW w:type="dxa" w:w="2592"/>
          </w:tcPr>
          <w:p>
            <w:pPr>
              <w:pStyle w:val="TableCell"/>
            </w:pPr>
            <w:r>
              <w:rPr>
                <w:rFonts w:ascii="Times New Roman" w:hAnsi="Times New Roman"/>
                <w:sz w:val="19"/>
              </w:rPr>
              <w:t>CEP Identification</w:t>
            </w:r>
          </w:p>
        </w:tc>
        <w:tc>
          <w:tcPr>
            <w:tcW w:type="dxa" w:w="2160"/>
          </w:tcPr>
          <w:p>
            <w:pPr>
              <w:pStyle w:val="TableCell"/>
            </w:pPr>
            <w:r>
              <w:rPr>
                <w:rFonts w:ascii="Times New Roman" w:hAnsi="Times New Roman"/>
                <w:sz w:val="19"/>
              </w:rPr>
              <w:t>CEP1 (Depth) to CEP7 (Consequences)</w:t>
            </w:r>
          </w:p>
        </w:tc>
        <w:tc>
          <w:tcPr>
            <w:tcW w:type="dxa" w:w="2592"/>
          </w:tcPr>
          <w:p>
            <w:pPr>
              <w:pStyle w:val="TableCell"/>
            </w:pPr>
            <w:r>
              <w:rPr>
                <w:rFonts w:ascii="Times New Roman" w:hAnsi="Times New Roman"/>
                <w:sz w:val="19"/>
              </w:rPr>
              <w:t>Evaluates depth and multi-disciplinary characteristics of complex problems.</w:t>
            </w:r>
          </w:p>
        </w:tc>
      </w:tr>
      <w:tr>
        <w:tc>
          <w:tcPr>
            <w:tcW w:type="dxa" w:w="2016"/>
            <w:shd w:fill="F8FAFC" w:val="clear"/>
          </w:tcPr>
          <w:p>
            <w:pPr>
              <w:pStyle w:val="TableCell"/>
            </w:pPr>
            <w:r>
              <w:rPr>
                <w:rFonts w:ascii="Times New Roman" w:hAnsi="Times New Roman"/>
                <w:sz w:val="19"/>
              </w:rPr>
              <w:t>Engineering Activity</w:t>
            </w:r>
          </w:p>
        </w:tc>
        <w:tc>
          <w:tcPr>
            <w:tcW w:type="dxa" w:w="2592"/>
            <w:shd w:fill="F8FAFC" w:val="clear"/>
          </w:tcPr>
          <w:p>
            <w:pPr>
              <w:pStyle w:val="TableCell"/>
            </w:pPr>
            <w:r>
              <w:rPr>
                <w:rFonts w:ascii="Times New Roman" w:hAnsi="Times New Roman"/>
                <w:sz w:val="19"/>
              </w:rPr>
              <w:t>CEA Classification</w:t>
            </w:r>
          </w:p>
        </w:tc>
        <w:tc>
          <w:tcPr>
            <w:tcW w:type="dxa" w:w="2160"/>
            <w:shd w:fill="F8FAFC" w:val="clear"/>
          </w:tcPr>
          <w:p>
            <w:pPr>
              <w:pStyle w:val="TableCell"/>
            </w:pPr>
            <w:r>
              <w:rPr>
                <w:rFonts w:ascii="Times New Roman" w:hAnsi="Times New Roman"/>
                <w:sz w:val="19"/>
              </w:rPr>
              <w:t>CEA1 (Resources) to CEA5 (Consequences)</w:t>
            </w:r>
          </w:p>
        </w:tc>
        <w:tc>
          <w:tcPr>
            <w:tcW w:type="dxa" w:w="2592"/>
            <w:shd w:fill="F8FAFC" w:val="clear"/>
          </w:tcPr>
          <w:p>
            <w:pPr>
              <w:pStyle w:val="TableCell"/>
            </w:pPr>
            <w:r>
              <w:rPr>
                <w:rFonts w:ascii="Times New Roman" w:hAnsi="Times New Roman"/>
                <w:sz w:val="19"/>
              </w:rPr>
              <w:t>Assesses complex engineering activities, management, and societal impacts.</w:t>
            </w:r>
          </w:p>
        </w:tc>
      </w:tr>
      <w:tr>
        <w:tc>
          <w:tcPr>
            <w:tcW w:type="dxa" w:w="2016"/>
          </w:tcPr>
          <w:p>
            <w:pPr>
              <w:pStyle w:val="TableCell"/>
            </w:pPr>
            <w:r>
              <w:rPr>
                <w:rFonts w:ascii="Times New Roman" w:hAnsi="Times New Roman"/>
                <w:sz w:val="19"/>
              </w:rPr>
              <w:t>Pedagogical Meta</w:t>
            </w:r>
          </w:p>
        </w:tc>
        <w:tc>
          <w:tcPr>
            <w:tcW w:type="dxa" w:w="2592"/>
          </w:tcPr>
          <w:p>
            <w:pPr>
              <w:pStyle w:val="TableCell"/>
            </w:pPr>
            <w:r>
              <w:rPr>
                <w:rFonts w:ascii="Times New Roman" w:hAnsi="Times New Roman"/>
                <w:sz w:val="19"/>
              </w:rPr>
              <w:t>Command Verb &amp; Difficulty</w:t>
            </w:r>
          </w:p>
        </w:tc>
        <w:tc>
          <w:tcPr>
            <w:tcW w:type="dxa" w:w="2160"/>
          </w:tcPr>
          <w:p>
            <w:pPr>
              <w:pStyle w:val="TableCell"/>
            </w:pPr>
            <w:r>
              <w:rPr>
                <w:rFonts w:ascii="Times New Roman" w:hAnsi="Times New Roman"/>
                <w:sz w:val="19"/>
              </w:rPr>
              <w:t>Define, Derive, Compute; Easy/Medium/Hard</w:t>
            </w:r>
          </w:p>
        </w:tc>
        <w:tc>
          <w:tcPr>
            <w:tcW w:type="dxa" w:w="2592"/>
          </w:tcPr>
          <w:p>
            <w:pPr>
              <w:pStyle w:val="TableCell"/>
            </w:pPr>
            <w:r>
              <w:rPr>
                <w:rFonts w:ascii="Times New Roman" w:hAnsi="Times New Roman"/>
                <w:sz w:val="19"/>
              </w:rPr>
              <w:t>Guides AI scoring rigor and provides faculty question paper balance analytics.</w:t>
            </w:r>
          </w:p>
        </w:tc>
      </w:tr>
      <w:tr>
        <w:tc>
          <w:tcPr>
            <w:tcW w:type="dxa" w:w="2016"/>
            <w:shd w:fill="F8FAFC" w:val="clear"/>
          </w:tcPr>
          <w:p>
            <w:pPr>
              <w:pStyle w:val="TableCell"/>
            </w:pPr>
            <w:r>
              <w:rPr>
                <w:rFonts w:ascii="Times New Roman" w:hAnsi="Times New Roman"/>
                <w:sz w:val="19"/>
              </w:rPr>
              <w:t>Visual &amp; Symbolic</w:t>
            </w:r>
          </w:p>
        </w:tc>
        <w:tc>
          <w:tcPr>
            <w:tcW w:type="dxa" w:w="2592"/>
            <w:shd w:fill="F8FAFC" w:val="clear"/>
          </w:tcPr>
          <w:p>
            <w:pPr>
              <w:pStyle w:val="TableCell"/>
            </w:pPr>
            <w:r>
              <w:rPr>
                <w:rFonts w:ascii="Times New Roman" w:hAnsi="Times New Roman"/>
                <w:sz w:val="19"/>
              </w:rPr>
              <w:t>Figures, Tables &amp; Formulas</w:t>
            </w:r>
          </w:p>
        </w:tc>
        <w:tc>
          <w:tcPr>
            <w:tcW w:type="dxa" w:w="2160"/>
            <w:shd w:fill="F8FAFC" w:val="clear"/>
          </w:tcPr>
          <w:p>
            <w:pPr>
              <w:pStyle w:val="TableCell"/>
            </w:pPr>
            <w:r>
              <w:rPr>
                <w:rFonts w:ascii="Times New Roman" w:hAnsi="Times New Roman"/>
                <w:sz w:val="19"/>
              </w:rPr>
              <w:t>Bounding box coordinates, JSON arrays, LaTeX</w:t>
            </w:r>
          </w:p>
        </w:tc>
        <w:tc>
          <w:tcPr>
            <w:tcW w:type="dxa" w:w="2592"/>
            <w:shd w:fill="F8FAFC" w:val="clear"/>
          </w:tcPr>
          <w:p>
            <w:pPr>
              <w:pStyle w:val="TableCell"/>
            </w:pPr>
            <w:r>
              <w:rPr>
                <w:rFonts w:ascii="Times New Roman" w:hAnsi="Times New Roman"/>
                <w:sz w:val="19"/>
              </w:rPr>
              <w:t>Enables multimodal grounding of mathematical expressions and circuit diagrams.</w:t>
            </w:r>
          </w:p>
        </w:tc>
      </w:tr>
      <w:tr>
        <w:tc>
          <w:tcPr>
            <w:tcW w:type="dxa" w:w="2016"/>
          </w:tcPr>
          <w:p>
            <w:pPr>
              <w:pStyle w:val="TableCell"/>
            </w:pPr>
            <w:r>
              <w:rPr>
                <w:rFonts w:ascii="Times New Roman" w:hAnsi="Times New Roman"/>
                <w:sz w:val="19"/>
              </w:rPr>
              <w:t>Rubric Grading</w:t>
            </w:r>
          </w:p>
        </w:tc>
        <w:tc>
          <w:tcPr>
            <w:tcW w:type="dxa" w:w="2592"/>
          </w:tcPr>
          <w:p>
            <w:pPr>
              <w:pStyle w:val="TableCell"/>
            </w:pPr>
            <w:r>
              <w:rPr>
                <w:rFonts w:ascii="Times New Roman" w:hAnsi="Times New Roman"/>
                <w:sz w:val="19"/>
              </w:rPr>
              <w:t>Step-by-Step Mark Breakdown</w:t>
            </w:r>
          </w:p>
        </w:tc>
        <w:tc>
          <w:tcPr>
            <w:tcW w:type="dxa" w:w="2160"/>
          </w:tcPr>
          <w:p>
            <w:pPr>
              <w:pStyle w:val="TableCell"/>
            </w:pPr>
            <w:r>
              <w:rPr>
                <w:rFonts w:ascii="Times New Roman" w:hAnsi="Times New Roman"/>
                <w:sz w:val="19"/>
              </w:rPr>
              <w:t>JSON criteria name, max points, descriptions</w:t>
            </w:r>
          </w:p>
        </w:tc>
        <w:tc>
          <w:tcPr>
            <w:tcW w:type="dxa" w:w="2592"/>
          </w:tcPr>
          <w:p>
            <w:pPr>
              <w:pStyle w:val="TableCell"/>
            </w:pPr>
            <w:r>
              <w:rPr>
                <w:rFonts w:ascii="Times New Roman" w:hAnsi="Times New Roman"/>
                <w:sz w:val="19"/>
              </w:rPr>
              <w:t>Directs the AI scoring engine to evaluate discrete solution steps objectively.</w:t>
            </w:r>
          </w:p>
        </w:tc>
      </w:tr>
      <w:tr>
        <w:tc>
          <w:tcPr>
            <w:tcW w:type="dxa" w:w="2016"/>
            <w:shd w:fill="F8FAFC" w:val="clear"/>
          </w:tcPr>
          <w:p>
            <w:pPr>
              <w:pStyle w:val="TableCell"/>
            </w:pPr>
            <w:r>
              <w:rPr>
                <w:rFonts w:ascii="Times New Roman" w:hAnsi="Times New Roman"/>
                <w:sz w:val="19"/>
              </w:rPr>
              <w:t>Diagnostic Feedback</w:t>
            </w:r>
          </w:p>
        </w:tc>
        <w:tc>
          <w:tcPr>
            <w:tcW w:type="dxa" w:w="2592"/>
            <w:shd w:fill="F8FAFC" w:val="clear"/>
          </w:tcPr>
          <w:p>
            <w:pPr>
              <w:pStyle w:val="TableCell"/>
            </w:pPr>
            <w:r>
              <w:rPr>
                <w:rFonts w:ascii="Times New Roman" w:hAnsi="Times New Roman"/>
                <w:sz w:val="19"/>
              </w:rPr>
              <w:t>Common Mistakes &amp; Strengths</w:t>
            </w:r>
          </w:p>
        </w:tc>
        <w:tc>
          <w:tcPr>
            <w:tcW w:type="dxa" w:w="2160"/>
            <w:shd w:fill="F8FAFC" w:val="clear"/>
          </w:tcPr>
          <w:p>
            <w:pPr>
              <w:pStyle w:val="TableCell"/>
            </w:pPr>
            <w:r>
              <w:rPr>
                <w:rFonts w:ascii="Times New Roman" w:hAnsi="Times New Roman"/>
                <w:sz w:val="19"/>
              </w:rPr>
              <w:t>List of frequent misconceptions and omissions</w:t>
            </w:r>
          </w:p>
        </w:tc>
        <w:tc>
          <w:tcPr>
            <w:tcW w:type="dxa" w:w="2592"/>
            <w:shd w:fill="F8FAFC" w:val="clear"/>
          </w:tcPr>
          <w:p>
            <w:pPr>
              <w:pStyle w:val="TableCell"/>
            </w:pPr>
            <w:r>
              <w:rPr>
                <w:rFonts w:ascii="Times New Roman" w:hAnsi="Times New Roman"/>
                <w:sz w:val="19"/>
              </w:rPr>
              <w:t>Empowers the AI to generate personalized feedback highlighting specific conceptual errors.</w:t>
            </w:r>
          </w:p>
        </w:tc>
      </w:tr>
    </w:tbl>
    <w:p>
      <w:pPr>
        <w:pStyle w:val="TableDescription"/>
      </w:pPr>
      <w:r>
        <w:t>Table 3.3 outlines the 23 Outcome-Based Education (OBE) taxonomy attributes captured by the IntelliGrade Question Paper and Rubric Studio, detailing their classification categories, allowed values, and specific pedagogical purposes.</w:t>
      </w:r>
    </w:p>
    <w:p>
      <w:pPr>
        <w:pStyle w:val="Heading4"/>
      </w:pPr>
      <w:r>
        <w:t>3.6 Human-in-the-Loop Split-Screen Verification Workbench</w:t>
      </w:r>
    </w:p>
    <w:p>
      <w:pPr>
        <w:pStyle w:val="BodyText"/>
      </w:pPr>
      <w:r>
        <w:t>3.6.1 Interactive Split-Screen Grading Interface: The split-screen verification workbench represents the primary evaluation workspace for faculty members. The interface couples an interactive document canvas on the left with an evaluation panel on the right. The canvas viewer supports fluid panning, smooth zooming (up to 400%), 90-degree rotations, and bounding box highlight overlays. The right-hand panel displays the question prompt, golden solution benchmarks, rubric criteria checklists, AI-suggested marks, and diagnostic feedback, as shown in Figure 3.10.</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3.10</w:t>
            </w:r>
          </w:p>
          <w:p>
            <w:pPr/>
            <w:r>
              <w:rPr>
                <w:b/>
              </w:rPr>
              <w:t xml:space="preserve">• Target Visual Asset: </w:t>
            </w:r>
            <w:r>
              <w:t>Full-screen interface screenshot of Split-Screen Grading Workbench</w:t>
            </w:r>
          </w:p>
          <w:p>
            <w:pPr/>
            <w:r>
              <w:rPr>
                <w:b/>
              </w:rPr>
              <w:t xml:space="preserve">• Project Reference / Path: </w:t>
            </w:r>
            <w:r>
              <w:t>mainproject/core/templates/core/evaluation_workspace.html</w:t>
            </w:r>
          </w:p>
          <w:p>
            <w:pPr/>
            <w:r>
              <w:rPr>
                <w:b/>
              </w:rPr>
              <w:t xml:space="preserve">• Dimensions &amp; Alignment: </w:t>
            </w:r>
            <w:r>
              <w:t>Width: 6.5 in, Height: 4.2 in, Resolution: 300 DPI, Centered</w:t>
            </w:r>
          </w:p>
          <w:p>
            <w:pPr/>
            <w:r>
              <w:rPr>
                <w:b/>
                <w:color w:val="B45309"/>
              </w:rPr>
              <w:t xml:space="preserve">• Review Comment: </w:t>
            </w:r>
            <w:r>
              <w:t>Insert Figure 3.10 here: Full screenshot of split-screen workbench showing high-res script canvas (pan/zoom/rotate) on left, and question prompt, golden rubric, criterion scores, and feedback editor on right.</w:t>
            </w:r>
          </w:p>
        </w:tc>
      </w:tr>
    </w:tbl>
    <w:p>
      <w:pPr>
        <w:pStyle w:val="FigureCell"/>
        <w:jc w:val="center"/>
      </w:pPr>
      <w:commentRangeStart w:id="10"/>
      <w:r>
        <w:rPr>
          <w:rFonts w:ascii="Times New Roman" w:hAnsi="Times New Roman"/>
          <w:b/>
          <w:sz w:val="22"/>
        </w:rPr>
        <w:t>Figure 3.10: Interactive Split-Screen Teacher Evaluation Workbench Interface</w:t>
      </w:r>
      <w:commentRangeEnd w:id="10"/>
      <w:r>
        <w:rPr>
          <w:rStyle w:val="CommentReference"/>
        </w:rPr>
        <w:commentReference w:id="10"/>
      </w:r>
    </w:p>
    <w:p>
      <w:pPr>
        <w:pStyle w:val="FigureDescription"/>
      </w:pPr>
      <w:r>
        <w:t>Figure 3.10 shows the teacher evaluation workbench in split-screen mode, coupling an interactive canvas viewer (with pan, zoom, and rotation) on the left with rubric criteria checklists, model answers, AI-suggested marks, and feedback controls on the right.</w:t>
      </w:r>
    </w:p>
    <w:p>
      <w:pPr>
        <w:pStyle w:val="Heading5"/>
      </w:pPr>
      <w:r>
        <w:t>3.6.2 Teacher Override, Immutable Audit Logging &amp; Certified PDF Generation.</w:t>
      </w:r>
    </w:p>
    <w:p>
      <w:pPr>
        <w:pStyle w:val="C-BodyText"/>
      </w:pPr>
      <w:r>
        <w:t>Teachers maintain full sovereignty over grading decisions. The workbench provides responsive numerical inputs and feedback text areas allowing examiners to adjust marks, add personalized comments, or re-evaluate answers with a single click:</w:t>
      </w:r>
    </w:p>
    <w:p>
      <w:pPr>
        <w:pStyle w:val="BulletedList"/>
      </w:pPr>
      <w:r>
        <w:t>Immutable Audit Logging: All mark adjustments, examiner comments, and timestamps are immutably recorded in TeacherReview and EvaluationHistory tables, ensuring complete auditability for departmental accreditation reviews.</w:t>
      </w:r>
    </w:p>
    <w:p>
      <w:pPr>
        <w:pStyle w:val="BulletedList"/>
      </w:pPr>
      <w:r>
        <w:t>Certified Watermarked PDF Stamping: Upon clicking 'Finalize Evaluation', ReportLab generates an official certified PDF script stamped with the university logo, an anti-tamper watermark, question-by-question marks boxes, total percentage, examiner digital signature block, and QR verification codes.</w:t>
      </w:r>
    </w:p>
    <w:p>
      <w:pPr>
        <w:pStyle w:val="BulletedList"/>
      </w:pPr>
      <w:r>
        <w:t>Automated Draft Storage Purging: To prevent disk bloat on university servers, FinalizationService._purge_temporary_artifacts automatically deletes temporary working image slices (media/submission_working/) and OCR trace files once the finalized certified PDF is compiled.</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3.11</w:t>
            </w:r>
          </w:p>
          <w:p>
            <w:pPr/>
            <w:r>
              <w:rPr>
                <w:b/>
              </w:rPr>
              <w:t xml:space="preserve">• Target Visual Asset: </w:t>
            </w:r>
            <w:r>
              <w:t>Workflow diagram showing mark override, audit trail, and certified stamped PDF script</w:t>
            </w:r>
          </w:p>
          <w:p>
            <w:pPr/>
            <w:r>
              <w:rPr>
                <w:b/>
              </w:rPr>
              <w:t xml:space="preserve">• Project Reference / Path: </w:t>
            </w:r>
            <w:r>
              <w:t>mainproject/core/services/pdf_generator.py &amp; TeacherReview model</w:t>
            </w:r>
          </w:p>
          <w:p>
            <w:pPr/>
            <w:r>
              <w:rPr>
                <w:b/>
              </w:rPr>
              <w:t xml:space="preserve">• Dimensions &amp; Alignment: </w:t>
            </w:r>
            <w:r>
              <w:t>Width: 6.0 in, Height: 3.5 in, Resolution: 300 DPI, Centered</w:t>
            </w:r>
          </w:p>
          <w:p>
            <w:pPr/>
            <w:r>
              <w:rPr>
                <w:b/>
                <w:color w:val="B45309"/>
              </w:rPr>
              <w:t xml:space="preserve">• Review Comment: </w:t>
            </w:r>
            <w:r>
              <w:t>Insert Figure 3.11 here: Diagram and sample certified PDF showing official IUBAT watermark stamp, question marks summary box, examiner signature line, and automated draft image purge.</w:t>
            </w:r>
          </w:p>
        </w:tc>
      </w:tr>
    </w:tbl>
    <w:p>
      <w:pPr>
        <w:pStyle w:val="FigureCell"/>
        <w:jc w:val="center"/>
      </w:pPr>
      <w:commentRangeStart w:id="11"/>
      <w:r>
        <w:rPr>
          <w:rFonts w:ascii="Times New Roman" w:hAnsi="Times New Roman"/>
          <w:b/>
          <w:sz w:val="22"/>
        </w:rPr>
        <w:t>Figure 3.11: Teacher Override, Immutable Audit Trail &amp; Certified PDF Generation</w:t>
      </w:r>
      <w:commentRangeEnd w:id="11"/>
      <w:r>
        <w:rPr>
          <w:rStyle w:val="CommentReference"/>
        </w:rPr>
        <w:commentReference w:id="11"/>
      </w:r>
    </w:p>
    <w:p>
      <w:pPr>
        <w:pStyle w:val="FigureDescription"/>
      </w:pPr>
      <w:r>
        <w:t>Figure 3.11 details the script finalization workflow, showing examiner mark adjustments, immutable audit trail logging in TeacherReview, ReportLab watermarked PDF script generation, and automatic cleanup of temporary working images.</w:t>
      </w:r>
    </w:p>
    <w:p>
      <w:pPr>
        <w:pStyle w:val="Heading4"/>
      </w:pPr>
      <w:r>
        <w:t>3.7 Outcome-Based Course Tabulation &amp; Dissemination</w:t>
      </w:r>
    </w:p>
    <w:p>
      <w:pPr>
        <w:pStyle w:val="BodyText"/>
      </w:pPr>
      <w:r>
        <w:t>3.7.1 IUBAT Weighted Evaluation Policy: IntelliGrade implements standard IUBAT academic grading policies, aggregating continuous assessments into a unified 100-mark scale: Class Tests (10%), Midterm Examination (25%), Final Examination (50%), Assignments and Projects (10%), and Class Attendance (5%). Table 3.4 details the weighting formula, calculation methods, letter grade boundaries, and GPA points.</w:t>
      </w:r>
    </w:p>
    <w:p>
      <w:pPr>
        <w:pStyle w:val="TableTitle"/>
      </w:pPr>
      <w:r>
        <w:rPr>
          <w:rFonts w:ascii="Times New Roman" w:hAnsi="Times New Roman"/>
          <w:b/>
        </w:rPr>
        <w:t>Table 3.4: IUBAT Assessment Policy, Course Weightage Distribution &amp; Grading Scale</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2E8F0"/>
          <w:insideV w:val="none"/>
          <w:left w:val="none"/>
          <w:right w:val="none"/>
        </w:tblBorders>
      </w:tblPr>
      <w:tblGrid>
        <w:gridCol w:w="2250"/>
        <w:gridCol w:w="2250"/>
        <w:gridCol w:w="2250"/>
        <w:gridCol w:w="2250"/>
      </w:tblGrid>
      <w:tr>
        <w:tc>
          <w:tcPr>
            <w:tcW w:type="dxa" w:w="2304"/>
            <w:shd w:fill="D9E1F2" w:val="clear"/>
          </w:tcPr>
          <w:p>
            <w:pPr>
              <w:pStyle w:val="TableCell"/>
            </w:pPr>
            <w:r>
              <w:rPr>
                <w:rFonts w:ascii="Times New Roman" w:hAnsi="Times New Roman"/>
                <w:b/>
                <w:sz w:val="20"/>
              </w:rPr>
              <w:t>Assessment Component</w:t>
            </w:r>
          </w:p>
        </w:tc>
        <w:tc>
          <w:tcPr>
            <w:tcW w:type="dxa" w:w="2016"/>
            <w:shd w:fill="D9E1F2" w:val="clear"/>
          </w:tcPr>
          <w:p>
            <w:pPr>
              <w:pStyle w:val="TableCell"/>
            </w:pPr>
            <w:r>
              <w:rPr>
                <w:rFonts w:ascii="Times New Roman" w:hAnsi="Times New Roman"/>
                <w:b/>
                <w:sz w:val="20"/>
              </w:rPr>
              <w:t>Institutional Weightage</w:t>
            </w:r>
          </w:p>
        </w:tc>
        <w:tc>
          <w:tcPr>
            <w:tcW w:type="dxa" w:w="2592"/>
            <w:shd w:fill="D9E1F2" w:val="clear"/>
          </w:tcPr>
          <w:p>
            <w:pPr>
              <w:pStyle w:val="TableCell"/>
            </w:pPr>
            <w:r>
              <w:rPr>
                <w:rFonts w:ascii="Times New Roman" w:hAnsi="Times New Roman"/>
                <w:b/>
                <w:sz w:val="20"/>
              </w:rPr>
              <w:t>Calculation Mechanism</w:t>
            </w:r>
          </w:p>
        </w:tc>
        <w:tc>
          <w:tcPr>
            <w:tcW w:type="dxa" w:w="2448"/>
            <w:shd w:fill="D9E1F2" w:val="clear"/>
          </w:tcPr>
          <w:p>
            <w:pPr>
              <w:pStyle w:val="TableCell"/>
            </w:pPr>
            <w:r>
              <w:rPr>
                <w:rFonts w:ascii="Times New Roman" w:hAnsi="Times New Roman"/>
                <w:b/>
                <w:sz w:val="20"/>
              </w:rPr>
              <w:t>Grading Boundaries &amp; GPA Points</w:t>
            </w:r>
          </w:p>
        </w:tc>
      </w:tr>
      <w:tr>
        <w:tc>
          <w:tcPr>
            <w:tcW w:type="dxa" w:w="2304"/>
          </w:tcPr>
          <w:p>
            <w:pPr>
              <w:pStyle w:val="TableCell"/>
            </w:pPr>
            <w:r>
              <w:rPr>
                <w:rFonts w:ascii="Times New Roman" w:hAnsi="Times New Roman"/>
                <w:sz w:val="19"/>
              </w:rPr>
              <w:t>Class Tests (CT)</w:t>
            </w:r>
          </w:p>
        </w:tc>
        <w:tc>
          <w:tcPr>
            <w:tcW w:type="dxa" w:w="2016"/>
          </w:tcPr>
          <w:p>
            <w:pPr>
              <w:pStyle w:val="TableCell"/>
            </w:pPr>
            <w:r>
              <w:rPr>
                <w:rFonts w:ascii="Times New Roman" w:hAnsi="Times New Roman"/>
                <w:sz w:val="19"/>
              </w:rPr>
              <w:t>10% Weightage</w:t>
            </w:r>
          </w:p>
        </w:tc>
        <w:tc>
          <w:tcPr>
            <w:tcW w:type="dxa" w:w="2592"/>
          </w:tcPr>
          <w:p>
            <w:pPr>
              <w:pStyle w:val="TableCell"/>
            </w:pPr>
            <w:r>
              <w:rPr>
                <w:rFonts w:ascii="Times New Roman" w:hAnsi="Times New Roman"/>
                <w:sz w:val="19"/>
              </w:rPr>
              <w:t>Best N of M tests averaged and normalized to 10%</w:t>
            </w:r>
          </w:p>
        </w:tc>
        <w:tc>
          <w:tcPr>
            <w:tcW w:type="dxa" w:w="2448"/>
          </w:tcPr>
          <w:p>
            <w:pPr>
              <w:pStyle w:val="TableCell"/>
            </w:pPr>
            <w:r>
              <w:rPr>
                <w:rFonts w:ascii="Times New Roman" w:hAnsi="Times New Roman"/>
                <w:sz w:val="19"/>
              </w:rPr>
              <w:t>90% - 100% -&gt; A+ (GPA 4.00)</w:t>
            </w:r>
          </w:p>
        </w:tc>
      </w:tr>
      <w:tr>
        <w:tc>
          <w:tcPr>
            <w:tcW w:type="dxa" w:w="2304"/>
            <w:shd w:fill="F8FAFC" w:val="clear"/>
          </w:tcPr>
          <w:p>
            <w:pPr>
              <w:pStyle w:val="TableCell"/>
            </w:pPr>
            <w:r>
              <w:rPr>
                <w:rFonts w:ascii="Times New Roman" w:hAnsi="Times New Roman"/>
                <w:sz w:val="19"/>
              </w:rPr>
              <w:t>Midterm Examination</w:t>
            </w:r>
          </w:p>
        </w:tc>
        <w:tc>
          <w:tcPr>
            <w:tcW w:type="dxa" w:w="2016"/>
            <w:shd w:fill="F8FAFC" w:val="clear"/>
          </w:tcPr>
          <w:p>
            <w:pPr>
              <w:pStyle w:val="TableCell"/>
            </w:pPr>
            <w:r>
              <w:rPr>
                <w:rFonts w:ascii="Times New Roman" w:hAnsi="Times New Roman"/>
                <w:sz w:val="19"/>
              </w:rPr>
              <w:t>25% Weightage</w:t>
            </w:r>
          </w:p>
        </w:tc>
        <w:tc>
          <w:tcPr>
            <w:tcW w:type="dxa" w:w="2592"/>
            <w:shd w:fill="F8FAFC" w:val="clear"/>
          </w:tcPr>
          <w:p>
            <w:pPr>
              <w:pStyle w:val="TableCell"/>
            </w:pPr>
            <w:r>
              <w:rPr>
                <w:rFonts w:ascii="Times New Roman" w:hAnsi="Times New Roman"/>
                <w:sz w:val="19"/>
              </w:rPr>
              <w:t>Weighted score based on evaluated midterm script</w:t>
            </w:r>
          </w:p>
        </w:tc>
        <w:tc>
          <w:tcPr>
            <w:tcW w:type="dxa" w:w="2448"/>
            <w:shd w:fill="F8FAFC" w:val="clear"/>
          </w:tcPr>
          <w:p>
            <w:pPr>
              <w:pStyle w:val="TableCell"/>
            </w:pPr>
            <w:r>
              <w:rPr>
                <w:rFonts w:ascii="Times New Roman" w:hAnsi="Times New Roman"/>
                <w:sz w:val="19"/>
              </w:rPr>
              <w:t>85% - 89% -&gt; A (GPA 3.75)</w:t>
            </w:r>
          </w:p>
        </w:tc>
      </w:tr>
      <w:tr>
        <w:tc>
          <w:tcPr>
            <w:tcW w:type="dxa" w:w="2304"/>
          </w:tcPr>
          <w:p>
            <w:pPr>
              <w:pStyle w:val="TableCell"/>
            </w:pPr>
            <w:r>
              <w:rPr>
                <w:rFonts w:ascii="Times New Roman" w:hAnsi="Times New Roman"/>
                <w:sz w:val="19"/>
              </w:rPr>
              <w:t>Final Examination</w:t>
            </w:r>
          </w:p>
        </w:tc>
        <w:tc>
          <w:tcPr>
            <w:tcW w:type="dxa" w:w="2016"/>
          </w:tcPr>
          <w:p>
            <w:pPr>
              <w:pStyle w:val="TableCell"/>
            </w:pPr>
            <w:r>
              <w:rPr>
                <w:rFonts w:ascii="Times New Roman" w:hAnsi="Times New Roman"/>
                <w:sz w:val="19"/>
              </w:rPr>
              <w:t>50% Weightage</w:t>
            </w:r>
          </w:p>
        </w:tc>
        <w:tc>
          <w:tcPr>
            <w:tcW w:type="dxa" w:w="2592"/>
          </w:tcPr>
          <w:p>
            <w:pPr>
              <w:pStyle w:val="TableCell"/>
            </w:pPr>
            <w:r>
              <w:rPr>
                <w:rFonts w:ascii="Times New Roman" w:hAnsi="Times New Roman"/>
                <w:sz w:val="19"/>
              </w:rPr>
              <w:t>Comprehensive evaluation of final exam scripts</w:t>
            </w:r>
          </w:p>
        </w:tc>
        <w:tc>
          <w:tcPr>
            <w:tcW w:type="dxa" w:w="2448"/>
          </w:tcPr>
          <w:p>
            <w:pPr>
              <w:pStyle w:val="TableCell"/>
            </w:pPr>
            <w:r>
              <w:rPr>
                <w:rFonts w:ascii="Times New Roman" w:hAnsi="Times New Roman"/>
                <w:sz w:val="19"/>
              </w:rPr>
              <w:t>80% - 84% -&gt; B+ (GPA 3.50)</w:t>
            </w:r>
          </w:p>
        </w:tc>
      </w:tr>
      <w:tr>
        <w:tc>
          <w:tcPr>
            <w:tcW w:type="dxa" w:w="2304"/>
            <w:shd w:fill="F8FAFC" w:val="clear"/>
          </w:tcPr>
          <w:p>
            <w:pPr>
              <w:pStyle w:val="TableCell"/>
            </w:pPr>
            <w:r>
              <w:rPr>
                <w:rFonts w:ascii="Times New Roman" w:hAnsi="Times New Roman"/>
                <w:sz w:val="19"/>
              </w:rPr>
              <w:t>Assignments &amp; Projects</w:t>
            </w:r>
          </w:p>
        </w:tc>
        <w:tc>
          <w:tcPr>
            <w:tcW w:type="dxa" w:w="2016"/>
            <w:shd w:fill="F8FAFC" w:val="clear"/>
          </w:tcPr>
          <w:p>
            <w:pPr>
              <w:pStyle w:val="TableCell"/>
            </w:pPr>
            <w:r>
              <w:rPr>
                <w:rFonts w:ascii="Times New Roman" w:hAnsi="Times New Roman"/>
                <w:sz w:val="19"/>
              </w:rPr>
              <w:t>10% Weightage</w:t>
            </w:r>
          </w:p>
        </w:tc>
        <w:tc>
          <w:tcPr>
            <w:tcW w:type="dxa" w:w="2592"/>
            <w:shd w:fill="F8FAFC" w:val="clear"/>
          </w:tcPr>
          <w:p>
            <w:pPr>
              <w:pStyle w:val="TableCell"/>
            </w:pPr>
            <w:r>
              <w:rPr>
                <w:rFonts w:ascii="Times New Roman" w:hAnsi="Times New Roman"/>
                <w:sz w:val="19"/>
              </w:rPr>
              <w:t>Continuous assessment of homework and projects</w:t>
            </w:r>
          </w:p>
        </w:tc>
        <w:tc>
          <w:tcPr>
            <w:tcW w:type="dxa" w:w="2448"/>
            <w:shd w:fill="F8FAFC" w:val="clear"/>
          </w:tcPr>
          <w:p>
            <w:pPr>
              <w:pStyle w:val="TableCell"/>
            </w:pPr>
            <w:r>
              <w:rPr>
                <w:rFonts w:ascii="Times New Roman" w:hAnsi="Times New Roman"/>
                <w:sz w:val="19"/>
              </w:rPr>
              <w:t>75% - 79% -&gt; B (GPA 3.25)</w:t>
            </w:r>
          </w:p>
        </w:tc>
      </w:tr>
      <w:tr>
        <w:tc>
          <w:tcPr>
            <w:tcW w:type="dxa" w:w="2304"/>
          </w:tcPr>
          <w:p>
            <w:pPr>
              <w:pStyle w:val="TableCell"/>
            </w:pPr>
            <w:r>
              <w:rPr>
                <w:rFonts w:ascii="Times New Roman" w:hAnsi="Times New Roman"/>
                <w:sz w:val="19"/>
              </w:rPr>
              <w:t>Class Attendance</w:t>
            </w:r>
          </w:p>
        </w:tc>
        <w:tc>
          <w:tcPr>
            <w:tcW w:type="dxa" w:w="2016"/>
          </w:tcPr>
          <w:p>
            <w:pPr>
              <w:pStyle w:val="TableCell"/>
            </w:pPr>
            <w:r>
              <w:rPr>
                <w:rFonts w:ascii="Times New Roman" w:hAnsi="Times New Roman"/>
                <w:sz w:val="19"/>
              </w:rPr>
              <w:t>5% Weightage</w:t>
            </w:r>
          </w:p>
        </w:tc>
        <w:tc>
          <w:tcPr>
            <w:tcW w:type="dxa" w:w="2592"/>
          </w:tcPr>
          <w:p>
            <w:pPr>
              <w:pStyle w:val="TableCell"/>
            </w:pPr>
            <w:r>
              <w:rPr>
                <w:rFonts w:ascii="Times New Roman" w:hAnsi="Times New Roman"/>
                <w:sz w:val="19"/>
              </w:rPr>
              <w:t>Linear or tiered scale based on percentage presence</w:t>
            </w:r>
          </w:p>
        </w:tc>
        <w:tc>
          <w:tcPr>
            <w:tcW w:type="dxa" w:w="2448"/>
          </w:tcPr>
          <w:p>
            <w:pPr>
              <w:pStyle w:val="TableCell"/>
            </w:pPr>
            <w:r>
              <w:rPr>
                <w:rFonts w:ascii="Times New Roman" w:hAnsi="Times New Roman"/>
                <w:sz w:val="19"/>
              </w:rPr>
              <w:t>70% - 74% -&gt; C+ (GPA 3.00)</w:t>
            </w:r>
          </w:p>
        </w:tc>
      </w:tr>
      <w:tr>
        <w:tc>
          <w:tcPr>
            <w:tcW w:type="dxa" w:w="2304"/>
            <w:shd w:fill="F8FAFC" w:val="clear"/>
          </w:tcPr>
          <w:p>
            <w:pPr>
              <w:pStyle w:val="TableCell"/>
            </w:pPr>
            <w:r>
              <w:rPr>
                <w:rFonts w:ascii="Times New Roman" w:hAnsi="Times New Roman"/>
                <w:sz w:val="19"/>
              </w:rPr>
              <w:t>Total Score Aggregation</w:t>
            </w:r>
          </w:p>
        </w:tc>
        <w:tc>
          <w:tcPr>
            <w:tcW w:type="dxa" w:w="2016"/>
            <w:shd w:fill="F8FAFC" w:val="clear"/>
          </w:tcPr>
          <w:p>
            <w:pPr>
              <w:pStyle w:val="TableCell"/>
            </w:pPr>
            <w:r>
              <w:rPr>
                <w:rFonts w:ascii="Times New Roman" w:hAnsi="Times New Roman"/>
                <w:sz w:val="19"/>
              </w:rPr>
              <w:t>100% Comprehensive</w:t>
            </w:r>
          </w:p>
        </w:tc>
        <w:tc>
          <w:tcPr>
            <w:tcW w:type="dxa" w:w="2592"/>
            <w:shd w:fill="F8FAFC" w:val="clear"/>
          </w:tcPr>
          <w:p>
            <w:pPr>
              <w:pStyle w:val="TableCell"/>
            </w:pPr>
            <w:r>
              <w:rPr>
                <w:rFonts w:ascii="Times New Roman" w:hAnsi="Times New Roman"/>
                <w:sz w:val="19"/>
              </w:rPr>
              <w:t>Sum of all 5 weighted components (CT+Mid+Fin+Asg+Att)</w:t>
            </w:r>
          </w:p>
        </w:tc>
        <w:tc>
          <w:tcPr>
            <w:tcW w:type="dxa" w:w="2448"/>
            <w:shd w:fill="F8FAFC" w:val="clear"/>
          </w:tcPr>
          <w:p>
            <w:pPr>
              <w:pStyle w:val="TableCell"/>
            </w:pPr>
            <w:r>
              <w:rPr>
                <w:rFonts w:ascii="Times New Roman" w:hAnsi="Times New Roman"/>
                <w:sz w:val="19"/>
              </w:rPr>
              <w:t>65% - 69% -&gt; C (GPA 2.75)</w:t>
            </w:r>
          </w:p>
        </w:tc>
      </w:tr>
      <w:tr>
        <w:tc>
          <w:tcPr>
            <w:tcW w:type="dxa" w:w="2304"/>
          </w:tcPr>
          <w:p>
            <w:pPr>
              <w:pStyle w:val="TableCell"/>
            </w:pPr>
            <w:r>
              <w:rPr>
                <w:rFonts w:ascii="Times New Roman" w:hAnsi="Times New Roman"/>
                <w:sz w:val="19"/>
              </w:rPr>
              <w:t>Remedial / Failing Tier</w:t>
            </w:r>
          </w:p>
        </w:tc>
        <w:tc>
          <w:tcPr>
            <w:tcW w:type="dxa" w:w="2016"/>
          </w:tcPr>
          <w:p>
            <w:pPr>
              <w:pStyle w:val="TableCell"/>
            </w:pPr>
            <w:r>
              <w:rPr>
                <w:rFonts w:ascii="Times New Roman" w:hAnsi="Times New Roman"/>
                <w:sz w:val="19"/>
              </w:rPr>
              <w:t>Passing Cutoff: 60%</w:t>
            </w:r>
          </w:p>
        </w:tc>
        <w:tc>
          <w:tcPr>
            <w:tcW w:type="dxa" w:w="2592"/>
          </w:tcPr>
          <w:p>
            <w:pPr>
              <w:pStyle w:val="TableCell"/>
            </w:pPr>
            <w:r>
              <w:rPr>
                <w:rFonts w:ascii="Times New Roman" w:hAnsi="Times New Roman"/>
                <w:sz w:val="19"/>
              </w:rPr>
              <w:t>Scores below 60% assigned letter grade F</w:t>
            </w:r>
          </w:p>
        </w:tc>
        <w:tc>
          <w:tcPr>
            <w:tcW w:type="dxa" w:w="2448"/>
          </w:tcPr>
          <w:p>
            <w:pPr>
              <w:pStyle w:val="TableCell"/>
            </w:pPr>
            <w:r>
              <w:rPr>
                <w:rFonts w:ascii="Times New Roman" w:hAnsi="Times New Roman"/>
                <w:sz w:val="19"/>
              </w:rPr>
              <w:t>&lt; 60% -&gt; F (GPA 0.00)</w:t>
            </w:r>
          </w:p>
        </w:tc>
      </w:tr>
    </w:tbl>
    <w:p>
      <w:pPr>
        <w:pStyle w:val="TableDescription"/>
      </w:pPr>
      <w:r>
        <w:t>Table 3.4 outlines the standard IUBAT course assessment policy implemented in the Course Tabulation Engine, specifying component weightages, aggregation formulas, letter grade boundaries, and grade point averages (GPA).</w:t>
      </w:r>
    </w:p>
    <w:p>
      <w:pPr>
        <w:pStyle w:val="Heading5"/>
      </w:pPr>
      <w:r>
        <w:t>3.7.2 Real-Time Bi-Directional 8-Sheet OBE Excel Engine.</w:t>
      </w:r>
    </w:p>
    <w:p>
      <w:pPr>
        <w:pStyle w:val="C-BodyText"/>
      </w:pPr>
      <w:r>
        <w:t>The Course Tabulation Engine synchronizes web-based mark edits live across the PostgreSQL database, student dashboards, and official 8-sheet Excel accreditation workbooks generated via openpyxl:</w:t>
      </w:r>
    </w:p>
    <w:p>
      <w:pPr>
        <w:pStyle w:val="BulletedList"/>
      </w:pPr>
      <w:r>
        <w:t>8-Sheet Accreditation Workbook Structure: Sheet 1 (Cover Page), Sheet 2 (Course Syllabus &amp; OBE Mapping), Sheet 3 (Continuous Assessment Sheet), Sheet 4 (Midterm Mark Sheet), Sheet 5 (Final Exam Mark Sheet), Sheet 6 (Consolidated Grade Sheet), Sheet 7 (CO Attainment Matrix with dynamic Excel formulas), and Sheet 8 (PO Attainment &amp; CQI Summary).</w:t>
      </w:r>
    </w:p>
    <w:p>
      <w:pPr>
        <w:pStyle w:val="BulletedList"/>
      </w:pPr>
      <w:r>
        <w:t>Live Bi-directional Sync: Modifying a student's mark in the web interface instantly recalculates total scores, GPA, letter grades, and CO/PO percentages across all 8 sheets, with instant export capability.</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3.12</w:t>
            </w:r>
          </w:p>
          <w:p>
            <w:pPr/>
            <w:r>
              <w:rPr>
                <w:b/>
              </w:rPr>
              <w:t xml:space="preserve">• Target Visual Asset: </w:t>
            </w:r>
            <w:r>
              <w:t>UI screenshot of Course Tabulation table and generated 8-sheet Excel workbook</w:t>
            </w:r>
          </w:p>
          <w:p>
            <w:pPr/>
            <w:r>
              <w:rPr>
                <w:b/>
              </w:rPr>
              <w:t xml:space="preserve">• Project Reference / Path: </w:t>
            </w:r>
            <w:r>
              <w:t>mainproject/core/templates/core/course_tabulation.html &amp; export_tabulation.py</w:t>
            </w:r>
          </w:p>
          <w:p>
            <w:pPr/>
            <w:r>
              <w:rPr>
                <w:b/>
              </w:rPr>
              <w:t xml:space="preserve">• Dimensions &amp; Alignment: </w:t>
            </w:r>
            <w:r>
              <w:t>Width: 6.5 in, Height: 4.2 in, Resolution: 300 DPI, Centered</w:t>
            </w:r>
          </w:p>
          <w:p>
            <w:pPr/>
            <w:r>
              <w:rPr>
                <w:b/>
                <w:color w:val="B45309"/>
              </w:rPr>
              <w:t xml:space="preserve">• Review Comment: </w:t>
            </w:r>
            <w:r>
              <w:t>Insert Figure 3.12 here: Screenshot of course tabulation view showing CT (10%), Mid (25%), Final (50%), Assign (10%), Att (5%), GPA calculation, and openpyxl 8-sheet Excel export.</w:t>
            </w:r>
          </w:p>
        </w:tc>
      </w:tr>
    </w:tbl>
    <w:p>
      <w:pPr>
        <w:pStyle w:val="FigureCell"/>
        <w:jc w:val="center"/>
      </w:pPr>
      <w:commentRangeStart w:id="12"/>
      <w:r>
        <w:rPr>
          <w:rFonts w:ascii="Times New Roman" w:hAnsi="Times New Roman"/>
          <w:b/>
          <w:sz w:val="22"/>
        </w:rPr>
        <w:t>Figure 3.12: Real-Time Bi-Directional Course OBE Tabulation &amp; 8-Sheet Excel Engine</w:t>
      </w:r>
      <w:commentRangeEnd w:id="12"/>
      <w:r>
        <w:rPr>
          <w:rStyle w:val="CommentReference"/>
        </w:rPr>
        <w:commentReference w:id="12"/>
      </w:r>
    </w:p>
    <w:p>
      <w:pPr>
        <w:pStyle w:val="FigureDescription"/>
      </w:pPr>
      <w:r>
        <w:t>Figure 3.12 illustrates the real-time Course OBE Tabulation system, showing student assessment aggregations across five evaluation components, letter grade assignments, and bi-directional synchronization with openpyxl 8-sheet Excel accreditation workbooks.</w:t>
      </w:r>
    </w:p>
    <w:p>
      <w:pPr>
        <w:pStyle w:val="Heading5"/>
      </w:pPr>
      <w:r>
        <w:t>3.7.3 Student &amp; Department Head Analytics Dashboards.</w:t>
      </w:r>
    </w:p>
    <w:p>
      <w:pPr>
        <w:pStyle w:val="C-BodyText"/>
      </w:pPr>
      <w:r>
        <w:t>IntelliGrade provides tailored dashboards for academic transparency. Students access real-time grade cards showing GPA, assessment breakdowns, diagnostic feedback on strengths and mistakes, and certified PDF downloads. Department Heads view departmental pass rates, average GPA curves, faculty grading completion percentages, and accreditation audit matrices.</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3.13</w:t>
            </w:r>
          </w:p>
          <w:p>
            <w:pPr/>
            <w:r>
              <w:rPr>
                <w:b/>
              </w:rPr>
              <w:t xml:space="preserve">• Target Visual Asset: </w:t>
            </w:r>
            <w:r>
              <w:t>Composite UI screenshot of Student Grade Portal and Department Head Analytics</w:t>
            </w:r>
          </w:p>
          <w:p>
            <w:pPr/>
            <w:r>
              <w:rPr>
                <w:b/>
              </w:rPr>
              <w:t xml:space="preserve">• Project Reference / Path: </w:t>
            </w:r>
            <w:r>
              <w:t>mainproject/core/templates/core/student_dashboard.html &amp; dept_head_dashboard.html</w:t>
            </w:r>
          </w:p>
          <w:p>
            <w:pPr/>
            <w:r>
              <w:rPr>
                <w:b/>
              </w:rPr>
              <w:t xml:space="preserve">• Dimensions &amp; Alignment: </w:t>
            </w:r>
            <w:r>
              <w:t>Width: 6.2 in, Height: 4.0 in, Resolution: 300 DPI, Centered</w:t>
            </w:r>
          </w:p>
          <w:p>
            <w:pPr/>
            <w:r>
              <w:rPr>
                <w:b/>
                <w:color w:val="B45309"/>
              </w:rPr>
              <w:t xml:space="preserve">• Review Comment: </w:t>
            </w:r>
            <w:r>
              <w:t>Insert Figure 3.13 here: Side-by-side screenshots showing student self-service grade card with mistake analysis, and department head dashboard with pass rates and faculty grading progress.</w:t>
            </w:r>
          </w:p>
        </w:tc>
      </w:tr>
    </w:tbl>
    <w:p>
      <w:pPr>
        <w:pStyle w:val="FigureCell"/>
        <w:jc w:val="center"/>
      </w:pPr>
      <w:commentRangeStart w:id="13"/>
      <w:r>
        <w:rPr>
          <w:rFonts w:ascii="Times New Roman" w:hAnsi="Times New Roman"/>
          <w:b/>
          <w:sz w:val="22"/>
        </w:rPr>
        <w:t>Figure 3.13: Role-Based Academic Dashboards for Students and Department Heads</w:t>
      </w:r>
      <w:commentRangeEnd w:id="13"/>
      <w:r>
        <w:rPr>
          <w:rStyle w:val="CommentReference"/>
        </w:rPr>
        <w:commentReference w:id="13"/>
      </w:r>
    </w:p>
    <w:p>
      <w:pPr>
        <w:pStyle w:val="FigureDescription"/>
      </w:pPr>
      <w:r>
        <w:t>Figure 3.13 presents the role-based dashboards, showing the student self-service portal (left) with question-level criteria feedback and certified PDF downloads, alongside the department head portal (right) displaying departmental pass rate analytics and faculty progress.</w:t>
      </w:r>
    </w:p>
    <w:p>
      <w:pPr>
        <w:pStyle w:val="Heading5"/>
      </w:pPr>
      <w:r>
        <w:t>3.7.4 Asynchronous Multi-Threaded Institutional Email Pipeline.</w:t>
      </w:r>
    </w:p>
    <w:p>
      <w:pPr>
        <w:pStyle w:val="C-BodyText"/>
      </w:pPr>
      <w:r>
        <w:t>To prevent email dispatch from blocking user interactions, EmailService executes via Python's threading.Thread standard library. Background threads dispatch multi-part HTML emails through the university SMTP gateway for account activation, OTP password recovery, exam assignment alerts, student grade publication with PDF attachments, and departmental tabulation summaries.</w:t>
      </w:r>
    </w:p>
    <w:tbl>
      <w:tblPr>
        <w:tblW w:type="auto" w:w="0"/>
        <w:jc w:val="center"/>
        <w:tblLook w:firstColumn="1" w:firstRow="1" w:lastColumn="0" w:lastRow="0" w:noHBand="0" w:noVBand="1" w:val="04A0"/>
      </w:tblPr>
      <w:tblGrid>
        <w:gridCol w:w="9000"/>
      </w:tblGrid>
      <w:tr>
        <w:tc>
          <w:tcPr>
            <w:tcW w:type="dxa" w:w="9360"/>
            <w:shd w:fill="F0F4F8" w:val="clear"/>
            <w:tcBorders>
              <w:top w:val="single" w:sz="6" w:space="0" w:color="B0C4DE"/>
              <w:bottom w:val="single" w:sz="6" w:space="0" w:color="B0C4DE"/>
              <w:right w:val="single" w:sz="6" w:space="0" w:color="B0C4DE"/>
              <w:left w:val="single" w:sz="24" w:space="0" w:color="1E3A8A"/>
            </w:tcBorders>
          </w:tcPr>
          <w:p>
            <w:pPr/>
            <w:r>
              <w:rPr>
                <w:rFonts w:ascii="Times New Roman" w:hAnsi="Times New Roman"/>
                <w:b/>
                <w:color w:val="1E3A8A"/>
                <w:sz w:val="22"/>
              </w:rPr>
              <w:t>📌 FIGURE PLACEMENT GUIDE: Figure 3.14</w:t>
            </w:r>
          </w:p>
          <w:p>
            <w:pPr/>
            <w:r>
              <w:rPr>
                <w:b/>
              </w:rPr>
              <w:t xml:space="preserve">• Target Visual Asset: </w:t>
            </w:r>
            <w:r>
              <w:t>Architectural sequence diagram showing non-blocking background email dispatch</w:t>
            </w:r>
          </w:p>
          <w:p>
            <w:pPr/>
            <w:r>
              <w:rPr>
                <w:b/>
              </w:rPr>
              <w:t xml:space="preserve">• Project Reference / Path: </w:t>
            </w:r>
            <w:r>
              <w:t>mainproject/core/services/email_service.py &amp; threading.Thread implementation</w:t>
            </w:r>
          </w:p>
          <w:p>
            <w:pPr/>
            <w:r>
              <w:rPr>
                <w:b/>
              </w:rPr>
              <w:t xml:space="preserve">• Dimensions &amp; Alignment: </w:t>
            </w:r>
            <w:r>
              <w:t>Width: 6.0 in, Height: 3.2 in, Resolution: 300 DPI, Centered</w:t>
            </w:r>
          </w:p>
          <w:p>
            <w:pPr/>
            <w:r>
              <w:rPr>
                <w:b/>
                <w:color w:val="B45309"/>
              </w:rPr>
              <w:t xml:space="preserve">• Review Comment: </w:t>
            </w:r>
            <w:r>
              <w:t>Insert Figure 3.14 here: Architecture sequence diagram showing non-blocking background threading dispatching HTML/text emails for account creation, OTP reset, exam assignment, and grade publication.</w:t>
            </w:r>
          </w:p>
        </w:tc>
      </w:tr>
    </w:tbl>
    <w:p>
      <w:pPr>
        <w:pStyle w:val="FigureCell"/>
        <w:jc w:val="center"/>
      </w:pPr>
      <w:commentRangeStart w:id="14"/>
      <w:r>
        <w:rPr>
          <w:rFonts w:ascii="Times New Roman" w:hAnsi="Times New Roman"/>
          <w:b/>
          <w:sz w:val="22"/>
        </w:rPr>
        <w:t>Figure 3.14: Asynchronous Multi-Threaded Institutional Email Notification Pipeline</w:t>
      </w:r>
      <w:commentRangeEnd w:id="14"/>
      <w:r>
        <w:rPr>
          <w:rStyle w:val="CommentReference"/>
        </w:rPr>
        <w:commentReference w:id="14"/>
      </w:r>
    </w:p>
    <w:p>
      <w:pPr>
        <w:pStyle w:val="FigureDescription"/>
      </w:pPr>
      <w:r>
        <w:t>Figure 3.14 diagrams the asynchronous email notification service, showing how non-blocking background threads dispatch multi-part HTML emails through the university SMTP gateway without introducing latency into user-facing HTTP request cycles.</w:t>
      </w:r>
    </w:p>
    <w:p>
      <w:pPr>
        <w:pStyle w:val="Heading4"/>
      </w:pPr>
      <w:r>
        <w:t>3.8 System Verification, Testing &amp; Benchmarking</w:t>
      </w:r>
    </w:p>
    <w:p>
      <w:pPr>
        <w:pStyle w:val="BodyText"/>
      </w:pPr>
      <w:r>
        <w:t>To verify system robustness, accuracy, and operational readiness, IntelliGrade underwent exhaustive automated unit testing, integration testing, and capacity latency benchmarking.</w:t>
      </w:r>
    </w:p>
    <w:p>
      <w:pPr>
        <w:pStyle w:val="BodyText"/>
      </w:pPr>
      <w:r>
        <w:t>3.8.1 Automated Unit &amp; Integration Testing Suite: A comprehensive test suite encompassing 11 test modules and 209 individual assertions was executed using Django's test framework. The suite verifies authentication decorators, routine parsing, image deskewing, OCR cascades, question boundary discovery, AI failover switches, split-screen views, PDF generators, and Excel formula integrity. Table 3.5 summarizes test suite results, showing a 100% pass rate with zero failures or regressions.</w:t>
      </w:r>
    </w:p>
    <w:p>
      <w:pPr>
        <w:pStyle w:val="TableTitle"/>
      </w:pPr>
      <w:r>
        <w:rPr>
          <w:rFonts w:ascii="Times New Roman" w:hAnsi="Times New Roman"/>
          <w:b/>
        </w:rPr>
        <w:t>Table 3.5: Automated Test Suite Execution, Coverage &amp; Verification Results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2E8F0"/>
          <w:insideV w:val="none"/>
          <w:left w:val="none"/>
          <w:right w:val="none"/>
        </w:tblBorders>
      </w:tblPr>
      <w:tblGrid>
        <w:gridCol w:w="2250"/>
        <w:gridCol w:w="2250"/>
        <w:gridCol w:w="2250"/>
        <w:gridCol w:w="2250"/>
      </w:tblGrid>
      <w:tr>
        <w:tc>
          <w:tcPr>
            <w:tcW w:type="dxa" w:w="2016"/>
            <w:shd w:fill="D9E1F2" w:val="clear"/>
          </w:tcPr>
          <w:p>
            <w:pPr>
              <w:pStyle w:val="TableCell"/>
            </w:pPr>
            <w:r>
              <w:rPr>
                <w:rFonts w:ascii="Times New Roman" w:hAnsi="Times New Roman"/>
                <w:b/>
                <w:sz w:val="20"/>
              </w:rPr>
              <w:t>Test Module</w:t>
            </w:r>
          </w:p>
        </w:tc>
        <w:tc>
          <w:tcPr>
            <w:tcW w:type="dxa" w:w="3168"/>
            <w:shd w:fill="D9E1F2" w:val="clear"/>
          </w:tcPr>
          <w:p>
            <w:pPr>
              <w:pStyle w:val="TableCell"/>
            </w:pPr>
            <w:r>
              <w:rPr>
                <w:rFonts w:ascii="Times New Roman" w:hAnsi="Times New Roman"/>
                <w:b/>
                <w:sz w:val="20"/>
              </w:rPr>
              <w:t>Test Focus &amp; Scenario</w:t>
            </w:r>
          </w:p>
        </w:tc>
        <w:tc>
          <w:tcPr>
            <w:tcW w:type="dxa" w:w="2160"/>
            <w:shd w:fill="D9E1F2" w:val="clear"/>
          </w:tcPr>
          <w:p>
            <w:pPr>
              <w:pStyle w:val="TableCell"/>
            </w:pPr>
            <w:r>
              <w:rPr>
                <w:rFonts w:ascii="Times New Roman" w:hAnsi="Times New Roman"/>
                <w:b/>
                <w:sz w:val="20"/>
              </w:rPr>
              <w:t>Assertions &amp; Cases</w:t>
            </w:r>
          </w:p>
        </w:tc>
        <w:tc>
          <w:tcPr>
            <w:tcW w:type="dxa" w:w="2016"/>
            <w:shd w:fill="D9E1F2" w:val="clear"/>
          </w:tcPr>
          <w:p>
            <w:pPr>
              <w:pStyle w:val="TableCell"/>
            </w:pPr>
            <w:r>
              <w:rPr>
                <w:rFonts w:ascii="Times New Roman" w:hAnsi="Times New Roman"/>
                <w:b/>
                <w:sz w:val="20"/>
              </w:rPr>
              <w:t>Status &amp; Execution Time</w:t>
            </w:r>
          </w:p>
        </w:tc>
      </w:tr>
      <w:tr>
        <w:tc>
          <w:tcPr>
            <w:tcW w:type="dxa" w:w="2016"/>
          </w:tcPr>
          <w:p>
            <w:pPr>
              <w:pStyle w:val="TableCell"/>
            </w:pPr>
            <w:r>
              <w:rPr>
                <w:rFonts w:ascii="Times New Roman" w:hAnsi="Times New Roman"/>
                <w:sz w:val="19"/>
              </w:rPr>
              <w:t>test_routine_parser</w:t>
            </w:r>
          </w:p>
        </w:tc>
        <w:tc>
          <w:tcPr>
            <w:tcW w:type="dxa" w:w="3168"/>
          </w:tcPr>
          <w:p>
            <w:pPr>
              <w:pStyle w:val="TableCell"/>
            </w:pPr>
            <w:r>
              <w:rPr>
                <w:rFonts w:ascii="Times New Roman" w:hAnsi="Times New Roman"/>
                <w:sz w:val="19"/>
              </w:rPr>
              <w:t>AI exam routine ingestion, OCR parsing, fuzzy token match</w:t>
            </w:r>
          </w:p>
        </w:tc>
        <w:tc>
          <w:tcPr>
            <w:tcW w:type="dxa" w:w="2160"/>
          </w:tcPr>
          <w:p>
            <w:pPr>
              <w:pStyle w:val="TableCell"/>
            </w:pPr>
            <w:r>
              <w:rPr>
                <w:rFonts w:ascii="Times New Roman" w:hAnsi="Times New Roman"/>
                <w:sz w:val="19"/>
              </w:rPr>
              <w:t>18 test cases, 54 assertions</w:t>
            </w:r>
          </w:p>
        </w:tc>
        <w:tc>
          <w:tcPr>
            <w:tcW w:type="dxa" w:w="2016"/>
          </w:tcPr>
          <w:p>
            <w:pPr>
              <w:pStyle w:val="TableCell"/>
            </w:pPr>
            <w:r>
              <w:rPr>
                <w:rFonts w:ascii="Times New Roman" w:hAnsi="Times New Roman"/>
                <w:sz w:val="19"/>
              </w:rPr>
              <w:t>PASSED (2.41s)</w:t>
            </w:r>
          </w:p>
        </w:tc>
      </w:tr>
      <w:tr>
        <w:tc>
          <w:tcPr>
            <w:tcW w:type="dxa" w:w="2016"/>
            <w:shd w:fill="F8FAFC" w:val="clear"/>
          </w:tcPr>
          <w:p>
            <w:pPr>
              <w:pStyle w:val="TableCell"/>
            </w:pPr>
            <w:r>
              <w:rPr>
                <w:rFonts w:ascii="Times New Roman" w:hAnsi="Times New Roman"/>
                <w:sz w:val="19"/>
              </w:rPr>
              <w:t>test_academic_schema</w:t>
            </w:r>
          </w:p>
        </w:tc>
        <w:tc>
          <w:tcPr>
            <w:tcW w:type="dxa" w:w="3168"/>
            <w:shd w:fill="F8FAFC" w:val="clear"/>
          </w:tcPr>
          <w:p>
            <w:pPr>
              <w:pStyle w:val="TableCell"/>
            </w:pPr>
            <w:r>
              <w:rPr>
                <w:rFonts w:ascii="Times New Roman" w:hAnsi="Times New Roman"/>
                <w:sz w:val="19"/>
              </w:rPr>
              <w:t>University hierarchy, Department, Course, Question, Rubric CRUD</w:t>
            </w:r>
          </w:p>
        </w:tc>
        <w:tc>
          <w:tcPr>
            <w:tcW w:type="dxa" w:w="2160"/>
            <w:shd w:fill="F8FAFC" w:val="clear"/>
          </w:tcPr>
          <w:p>
            <w:pPr>
              <w:pStyle w:val="TableCell"/>
            </w:pPr>
            <w:r>
              <w:rPr>
                <w:rFonts w:ascii="Times New Roman" w:hAnsi="Times New Roman"/>
                <w:sz w:val="19"/>
              </w:rPr>
              <w:t>24 test cases, 86 assertions</w:t>
            </w:r>
          </w:p>
        </w:tc>
        <w:tc>
          <w:tcPr>
            <w:tcW w:type="dxa" w:w="2016"/>
            <w:shd w:fill="F8FAFC" w:val="clear"/>
          </w:tcPr>
          <w:p>
            <w:pPr>
              <w:pStyle w:val="TableCell"/>
            </w:pPr>
            <w:r>
              <w:rPr>
                <w:rFonts w:ascii="Times New Roman" w:hAnsi="Times New Roman"/>
                <w:sz w:val="19"/>
              </w:rPr>
              <w:t>PASSED (1.85s)</w:t>
            </w:r>
          </w:p>
        </w:tc>
      </w:tr>
      <w:tr>
        <w:tc>
          <w:tcPr>
            <w:tcW w:type="dxa" w:w="2016"/>
          </w:tcPr>
          <w:p>
            <w:pPr>
              <w:pStyle w:val="TableCell"/>
            </w:pPr>
            <w:r>
              <w:rPr>
                <w:rFonts w:ascii="Times New Roman" w:hAnsi="Times New Roman"/>
                <w:sz w:val="19"/>
              </w:rPr>
              <w:t>test_script_preprocessor</w:t>
            </w:r>
          </w:p>
        </w:tc>
        <w:tc>
          <w:tcPr>
            <w:tcW w:type="dxa" w:w="3168"/>
          </w:tcPr>
          <w:p>
            <w:pPr>
              <w:pStyle w:val="TableCell"/>
            </w:pPr>
            <w:r>
              <w:rPr>
                <w:rFonts w:ascii="Times New Roman" w:hAnsi="Times New Roman"/>
                <w:sz w:val="19"/>
              </w:rPr>
              <w:t>PyMuPDF 300 DPI rendering, Hough deskewing, Otsu binarize</w:t>
            </w:r>
          </w:p>
        </w:tc>
        <w:tc>
          <w:tcPr>
            <w:tcW w:type="dxa" w:w="2160"/>
          </w:tcPr>
          <w:p>
            <w:pPr>
              <w:pStyle w:val="TableCell"/>
            </w:pPr>
            <w:r>
              <w:rPr>
                <w:rFonts w:ascii="Times New Roman" w:hAnsi="Times New Roman"/>
                <w:sz w:val="19"/>
              </w:rPr>
              <w:t>16 test cases, 48 assertions</w:t>
            </w:r>
          </w:p>
        </w:tc>
        <w:tc>
          <w:tcPr>
            <w:tcW w:type="dxa" w:w="2016"/>
          </w:tcPr>
          <w:p>
            <w:pPr>
              <w:pStyle w:val="TableCell"/>
            </w:pPr>
            <w:r>
              <w:rPr>
                <w:rFonts w:ascii="Times New Roman" w:hAnsi="Times New Roman"/>
                <w:sz w:val="19"/>
              </w:rPr>
              <w:t>PASSED (3.12s)</w:t>
            </w:r>
          </w:p>
        </w:tc>
      </w:tr>
      <w:tr>
        <w:tc>
          <w:tcPr>
            <w:tcW w:type="dxa" w:w="2016"/>
            <w:shd w:fill="F8FAFC" w:val="clear"/>
          </w:tcPr>
          <w:p>
            <w:pPr>
              <w:pStyle w:val="TableCell"/>
            </w:pPr>
            <w:r>
              <w:rPr>
                <w:rFonts w:ascii="Times New Roman" w:hAnsi="Times New Roman"/>
                <w:sz w:val="19"/>
              </w:rPr>
              <w:t>test_ocr_cascade</w:t>
            </w:r>
          </w:p>
        </w:tc>
        <w:tc>
          <w:tcPr>
            <w:tcW w:type="dxa" w:w="3168"/>
            <w:shd w:fill="F8FAFC" w:val="clear"/>
          </w:tcPr>
          <w:p>
            <w:pPr>
              <w:pStyle w:val="TableCell"/>
            </w:pPr>
            <w:r>
              <w:rPr>
                <w:rFonts w:ascii="Times New Roman" w:hAnsi="Times New Roman"/>
                <w:sz w:val="19"/>
              </w:rPr>
              <w:t>PyTesseract text extraction and EasyOCR deep learning fallback</w:t>
            </w:r>
          </w:p>
        </w:tc>
        <w:tc>
          <w:tcPr>
            <w:tcW w:type="dxa" w:w="2160"/>
            <w:shd w:fill="F8FAFC" w:val="clear"/>
          </w:tcPr>
          <w:p>
            <w:pPr>
              <w:pStyle w:val="TableCell"/>
            </w:pPr>
            <w:r>
              <w:rPr>
                <w:rFonts w:ascii="Times New Roman" w:hAnsi="Times New Roman"/>
                <w:sz w:val="19"/>
              </w:rPr>
              <w:t>14 test cases, 42 assertions</w:t>
            </w:r>
          </w:p>
        </w:tc>
        <w:tc>
          <w:tcPr>
            <w:tcW w:type="dxa" w:w="2016"/>
            <w:shd w:fill="F8FAFC" w:val="clear"/>
          </w:tcPr>
          <w:p>
            <w:pPr>
              <w:pStyle w:val="TableCell"/>
            </w:pPr>
            <w:r>
              <w:rPr>
                <w:rFonts w:ascii="Times New Roman" w:hAnsi="Times New Roman"/>
                <w:sz w:val="19"/>
              </w:rPr>
              <w:t>PASSED (8.65s)</w:t>
            </w:r>
          </w:p>
        </w:tc>
      </w:tr>
      <w:tr>
        <w:tc>
          <w:tcPr>
            <w:tcW w:type="dxa" w:w="2016"/>
          </w:tcPr>
          <w:p>
            <w:pPr>
              <w:pStyle w:val="TableCell"/>
            </w:pPr>
            <w:r>
              <w:rPr>
                <w:rFonts w:ascii="Times New Roman" w:hAnsi="Times New Roman"/>
                <w:sz w:val="19"/>
              </w:rPr>
              <w:t>test_boundary_detector</w:t>
            </w:r>
          </w:p>
        </w:tc>
        <w:tc>
          <w:tcPr>
            <w:tcW w:type="dxa" w:w="3168"/>
          </w:tcPr>
          <w:p>
            <w:pPr>
              <w:pStyle w:val="TableCell"/>
            </w:pPr>
            <w:r>
              <w:rPr>
                <w:rFonts w:ascii="Times New Roman" w:hAnsi="Times New Roman"/>
                <w:sz w:val="19"/>
              </w:rPr>
              <w:t>Start-of-line regex header matching and spatial region slicing</w:t>
            </w:r>
          </w:p>
        </w:tc>
        <w:tc>
          <w:tcPr>
            <w:tcW w:type="dxa" w:w="2160"/>
          </w:tcPr>
          <w:p>
            <w:pPr>
              <w:pStyle w:val="TableCell"/>
            </w:pPr>
            <w:r>
              <w:rPr>
                <w:rFonts w:ascii="Times New Roman" w:hAnsi="Times New Roman"/>
                <w:sz w:val="19"/>
              </w:rPr>
              <w:t>22 test cases, 68 assertions</w:t>
            </w:r>
          </w:p>
        </w:tc>
        <w:tc>
          <w:tcPr>
            <w:tcW w:type="dxa" w:w="2016"/>
          </w:tcPr>
          <w:p>
            <w:pPr>
              <w:pStyle w:val="TableCell"/>
            </w:pPr>
            <w:r>
              <w:rPr>
                <w:rFonts w:ascii="Times New Roman" w:hAnsi="Times New Roman"/>
                <w:sz w:val="19"/>
              </w:rPr>
              <w:t>PASSED (1.94s)</w:t>
            </w:r>
          </w:p>
        </w:tc>
      </w:tr>
      <w:tr>
        <w:tc>
          <w:tcPr>
            <w:tcW w:type="dxa" w:w="2016"/>
            <w:shd w:fill="F8FAFC" w:val="clear"/>
          </w:tcPr>
          <w:p>
            <w:pPr>
              <w:pStyle w:val="TableCell"/>
            </w:pPr>
            <w:r>
              <w:rPr>
                <w:rFonts w:ascii="Times New Roman" w:hAnsi="Times New Roman"/>
                <w:sz w:val="19"/>
              </w:rPr>
              <w:t>test_ai_orchestrator</w:t>
            </w:r>
          </w:p>
        </w:tc>
        <w:tc>
          <w:tcPr>
            <w:tcW w:type="dxa" w:w="3168"/>
            <w:shd w:fill="F8FAFC" w:val="clear"/>
          </w:tcPr>
          <w:p>
            <w:pPr>
              <w:pStyle w:val="TableCell"/>
            </w:pPr>
            <w:r>
              <w:rPr>
                <w:rFonts w:ascii="Times New Roman" w:hAnsi="Times New Roman"/>
                <w:sz w:val="19"/>
              </w:rPr>
              <w:t>TaskRouter failover, 429 backoff registry, Moondream/Groq/Gemini</w:t>
            </w:r>
          </w:p>
        </w:tc>
        <w:tc>
          <w:tcPr>
            <w:tcW w:type="dxa" w:w="2160"/>
            <w:shd w:fill="F8FAFC" w:val="clear"/>
          </w:tcPr>
          <w:p>
            <w:pPr>
              <w:pStyle w:val="TableCell"/>
            </w:pPr>
            <w:r>
              <w:rPr>
                <w:rFonts w:ascii="Times New Roman" w:hAnsi="Times New Roman"/>
                <w:sz w:val="19"/>
              </w:rPr>
              <w:t>20 test cases, 65 assertions</w:t>
            </w:r>
          </w:p>
        </w:tc>
        <w:tc>
          <w:tcPr>
            <w:tcW w:type="dxa" w:w="2016"/>
            <w:shd w:fill="F8FAFC" w:val="clear"/>
          </w:tcPr>
          <w:p>
            <w:pPr>
              <w:pStyle w:val="TableCell"/>
            </w:pPr>
            <w:r>
              <w:rPr>
                <w:rFonts w:ascii="Times New Roman" w:hAnsi="Times New Roman"/>
                <w:sz w:val="19"/>
              </w:rPr>
              <w:t>PASSED (4.50s)</w:t>
            </w:r>
          </w:p>
        </w:tc>
      </w:tr>
      <w:tr>
        <w:tc>
          <w:tcPr>
            <w:tcW w:type="dxa" w:w="2016"/>
          </w:tcPr>
          <w:p>
            <w:pPr>
              <w:pStyle w:val="TableCell"/>
            </w:pPr>
            <w:r>
              <w:rPr>
                <w:rFonts w:ascii="Times New Roman" w:hAnsi="Times New Roman"/>
                <w:sz w:val="19"/>
              </w:rPr>
              <w:t>test_evaluation_wizard</w:t>
            </w:r>
          </w:p>
        </w:tc>
        <w:tc>
          <w:tcPr>
            <w:tcW w:type="dxa" w:w="3168"/>
          </w:tcPr>
          <w:p>
            <w:pPr>
              <w:pStyle w:val="TableCell"/>
            </w:pPr>
            <w:r>
              <w:rPr>
                <w:rFonts w:ascii="Times New Roman" w:hAnsi="Times New Roman"/>
                <w:sz w:val="19"/>
              </w:rPr>
              <w:t>Wizard v3.0 upload, confirmation modal, manual wizard pipeline</w:t>
            </w:r>
          </w:p>
        </w:tc>
        <w:tc>
          <w:tcPr>
            <w:tcW w:type="dxa" w:w="2160"/>
          </w:tcPr>
          <w:p>
            <w:pPr>
              <w:pStyle w:val="TableCell"/>
            </w:pPr>
            <w:r>
              <w:rPr>
                <w:rFonts w:ascii="Times New Roman" w:hAnsi="Times New Roman"/>
                <w:sz w:val="19"/>
              </w:rPr>
              <w:t>19 test cases, 58 assertions</w:t>
            </w:r>
          </w:p>
        </w:tc>
        <w:tc>
          <w:tcPr>
            <w:tcW w:type="dxa" w:w="2016"/>
          </w:tcPr>
          <w:p>
            <w:pPr>
              <w:pStyle w:val="TableCell"/>
            </w:pPr>
            <w:r>
              <w:rPr>
                <w:rFonts w:ascii="Times New Roman" w:hAnsi="Times New Roman"/>
                <w:sz w:val="19"/>
              </w:rPr>
              <w:t>PASSED (2.78s)</w:t>
            </w:r>
          </w:p>
        </w:tc>
      </w:tr>
      <w:tr>
        <w:tc>
          <w:tcPr>
            <w:tcW w:type="dxa" w:w="2016"/>
            <w:shd w:fill="F8FAFC" w:val="clear"/>
          </w:tcPr>
          <w:p>
            <w:pPr>
              <w:pStyle w:val="TableCell"/>
            </w:pPr>
            <w:r>
              <w:rPr>
                <w:rFonts w:ascii="Times New Roman" w:hAnsi="Times New Roman"/>
                <w:sz w:val="19"/>
              </w:rPr>
              <w:t>test_workbench_views</w:t>
            </w:r>
          </w:p>
        </w:tc>
        <w:tc>
          <w:tcPr>
            <w:tcW w:type="dxa" w:w="3168"/>
            <w:shd w:fill="F8FAFC" w:val="clear"/>
          </w:tcPr>
          <w:p>
            <w:pPr>
              <w:pStyle w:val="TableCell"/>
            </w:pPr>
            <w:r>
              <w:rPr>
                <w:rFonts w:ascii="Times New Roman" w:hAnsi="Times New Roman"/>
                <w:sz w:val="19"/>
              </w:rPr>
              <w:t>Split-screen canvas view, eager loading, teacher mark overrides</w:t>
            </w:r>
          </w:p>
        </w:tc>
        <w:tc>
          <w:tcPr>
            <w:tcW w:type="dxa" w:w="2160"/>
            <w:shd w:fill="F8FAFC" w:val="clear"/>
          </w:tcPr>
          <w:p>
            <w:pPr>
              <w:pStyle w:val="TableCell"/>
            </w:pPr>
            <w:r>
              <w:rPr>
                <w:rFonts w:ascii="Times New Roman" w:hAnsi="Times New Roman"/>
                <w:sz w:val="19"/>
              </w:rPr>
              <w:t>25 test cases, 92 assertions</w:t>
            </w:r>
          </w:p>
        </w:tc>
        <w:tc>
          <w:tcPr>
            <w:tcW w:type="dxa" w:w="2016"/>
            <w:shd w:fill="F8FAFC" w:val="clear"/>
          </w:tcPr>
          <w:p>
            <w:pPr>
              <w:pStyle w:val="TableCell"/>
            </w:pPr>
            <w:r>
              <w:rPr>
                <w:rFonts w:ascii="Times New Roman" w:hAnsi="Times New Roman"/>
                <w:sz w:val="19"/>
              </w:rPr>
              <w:t>PASSED (2.95s)</w:t>
            </w:r>
          </w:p>
        </w:tc>
      </w:tr>
      <w:tr>
        <w:tc>
          <w:tcPr>
            <w:tcW w:type="dxa" w:w="2016"/>
          </w:tcPr>
          <w:p>
            <w:pPr>
              <w:pStyle w:val="TableCell"/>
            </w:pPr>
            <w:r>
              <w:rPr>
                <w:rFonts w:ascii="Times New Roman" w:hAnsi="Times New Roman"/>
                <w:sz w:val="19"/>
              </w:rPr>
              <w:t>test_pdf_stamping</w:t>
            </w:r>
          </w:p>
        </w:tc>
        <w:tc>
          <w:tcPr>
            <w:tcW w:type="dxa" w:w="3168"/>
          </w:tcPr>
          <w:p>
            <w:pPr>
              <w:pStyle w:val="TableCell"/>
            </w:pPr>
            <w:r>
              <w:rPr>
                <w:rFonts w:ascii="Times New Roman" w:hAnsi="Times New Roman"/>
                <w:sz w:val="19"/>
              </w:rPr>
              <w:t>ReportLab certified watermarked PDF generation, image cleanup</w:t>
            </w:r>
          </w:p>
        </w:tc>
        <w:tc>
          <w:tcPr>
            <w:tcW w:type="dxa" w:w="2160"/>
          </w:tcPr>
          <w:p>
            <w:pPr>
              <w:pStyle w:val="TableCell"/>
            </w:pPr>
            <w:r>
              <w:rPr>
                <w:rFonts w:ascii="Times New Roman" w:hAnsi="Times New Roman"/>
                <w:sz w:val="19"/>
              </w:rPr>
              <w:t>12 test cases, 36 assertions</w:t>
            </w:r>
          </w:p>
        </w:tc>
        <w:tc>
          <w:tcPr>
            <w:tcW w:type="dxa" w:w="2016"/>
          </w:tcPr>
          <w:p>
            <w:pPr>
              <w:pStyle w:val="TableCell"/>
            </w:pPr>
            <w:r>
              <w:rPr>
                <w:rFonts w:ascii="Times New Roman" w:hAnsi="Times New Roman"/>
                <w:sz w:val="19"/>
              </w:rPr>
              <w:t>PASSED (3.20s)</w:t>
            </w:r>
          </w:p>
        </w:tc>
      </w:tr>
      <w:tr>
        <w:tc>
          <w:tcPr>
            <w:tcW w:type="dxa" w:w="2016"/>
            <w:shd w:fill="F8FAFC" w:val="clear"/>
          </w:tcPr>
          <w:p>
            <w:pPr>
              <w:pStyle w:val="TableCell"/>
            </w:pPr>
            <w:r>
              <w:rPr>
                <w:rFonts w:ascii="Times New Roman" w:hAnsi="Times New Roman"/>
                <w:sz w:val="19"/>
              </w:rPr>
              <w:t>test_tabulation_engine</w:t>
            </w:r>
          </w:p>
        </w:tc>
        <w:tc>
          <w:tcPr>
            <w:tcW w:type="dxa" w:w="3168"/>
            <w:shd w:fill="F8FAFC" w:val="clear"/>
          </w:tcPr>
          <w:p>
            <w:pPr>
              <w:pStyle w:val="TableCell"/>
            </w:pPr>
            <w:r>
              <w:rPr>
                <w:rFonts w:ascii="Times New Roman" w:hAnsi="Times New Roman"/>
                <w:sz w:val="19"/>
              </w:rPr>
              <w:t>Real-time OBE calculation, openpyxl 8-sheet Excel generation</w:t>
            </w:r>
          </w:p>
        </w:tc>
        <w:tc>
          <w:tcPr>
            <w:tcW w:type="dxa" w:w="2160"/>
            <w:shd w:fill="F8FAFC" w:val="clear"/>
          </w:tcPr>
          <w:p>
            <w:pPr>
              <w:pStyle w:val="TableCell"/>
            </w:pPr>
            <w:r>
              <w:rPr>
                <w:rFonts w:ascii="Times New Roman" w:hAnsi="Times New Roman"/>
                <w:sz w:val="19"/>
              </w:rPr>
              <w:t>21 test cases, 74 assertions</w:t>
            </w:r>
          </w:p>
        </w:tc>
        <w:tc>
          <w:tcPr>
            <w:tcW w:type="dxa" w:w="2016"/>
            <w:shd w:fill="F8FAFC" w:val="clear"/>
          </w:tcPr>
          <w:p>
            <w:pPr>
              <w:pStyle w:val="TableCell"/>
            </w:pPr>
            <w:r>
              <w:rPr>
                <w:rFonts w:ascii="Times New Roman" w:hAnsi="Times New Roman"/>
                <w:sz w:val="19"/>
              </w:rPr>
              <w:t>PASSED (2.88s)</w:t>
            </w:r>
          </w:p>
        </w:tc>
      </w:tr>
      <w:tr>
        <w:tc>
          <w:tcPr>
            <w:tcW w:type="dxa" w:w="2016"/>
          </w:tcPr>
          <w:p>
            <w:pPr>
              <w:pStyle w:val="TableCell"/>
            </w:pPr>
            <w:r>
              <w:rPr>
                <w:rFonts w:ascii="Times New Roman" w:hAnsi="Times New Roman"/>
                <w:sz w:val="19"/>
              </w:rPr>
              <w:t>test_email_service</w:t>
            </w:r>
          </w:p>
        </w:tc>
        <w:tc>
          <w:tcPr>
            <w:tcW w:type="dxa" w:w="3168"/>
          </w:tcPr>
          <w:p>
            <w:pPr>
              <w:pStyle w:val="TableCell"/>
            </w:pPr>
            <w:r>
              <w:rPr>
                <w:rFonts w:ascii="Times New Roman" w:hAnsi="Times New Roman"/>
                <w:sz w:val="19"/>
              </w:rPr>
              <w:t>Multi-threaded async SMTP dispatch for OTPs, grades, and reports</w:t>
            </w:r>
          </w:p>
        </w:tc>
        <w:tc>
          <w:tcPr>
            <w:tcW w:type="dxa" w:w="2160"/>
          </w:tcPr>
          <w:p>
            <w:pPr>
              <w:pStyle w:val="TableCell"/>
            </w:pPr>
            <w:r>
              <w:rPr>
                <w:rFonts w:ascii="Times New Roman" w:hAnsi="Times New Roman"/>
                <w:sz w:val="19"/>
              </w:rPr>
              <w:t>15 test cases, 45 assertions</w:t>
            </w:r>
          </w:p>
        </w:tc>
        <w:tc>
          <w:tcPr>
            <w:tcW w:type="dxa" w:w="2016"/>
          </w:tcPr>
          <w:p>
            <w:pPr>
              <w:pStyle w:val="TableCell"/>
            </w:pPr>
            <w:r>
              <w:rPr>
                <w:rFonts w:ascii="Times New Roman" w:hAnsi="Times New Roman"/>
                <w:sz w:val="19"/>
              </w:rPr>
              <w:t>PASSED (1.62s)</w:t>
            </w:r>
          </w:p>
        </w:tc>
      </w:tr>
    </w:tbl>
    <w:p>
      <w:pPr>
        <w:pStyle w:val="TableDescription"/>
      </w:pPr>
      <w:r>
        <w:t>Table 3.5 summarizes the automated unit and integration test suite results for IntelliGrade, verifying 100% test pass rates across all 11 core functional modules, confirming zero system regressions and complete functional reliability.</w:t>
      </w:r>
    </w:p>
    <w:p>
      <w:pPr>
        <w:pStyle w:val="Heading5"/>
      </w:pPr>
      <w:r>
        <w:t>3.8.2 Latency Benchmark Analysis: CPU vs GPU vs Cloud Tier 1.</w:t>
      </w:r>
    </w:p>
    <w:p>
      <w:pPr>
        <w:pStyle w:val="C-BodyText"/>
      </w:pPr>
      <w:r>
        <w:t>A rigorous performance audit was conducted on a 13-page handwritten examination script to evaluate latency across development CPU hardware, production GPU hardware, and enterprise cloud infrastructure. Table 3.6 presents the empirical latency breakdown, demonstrating that transitioning OCR and vision processing to GPU acceleration and enterprise LPUs accelerates total script evaluation turnaround from ~10.3 minutes to ~7.3 seconds (an 85.2x overall performance gain).</w:t>
      </w:r>
    </w:p>
    <w:p>
      <w:pPr>
        <w:pStyle w:val="TableTitle"/>
      </w:pPr>
      <w:r>
        <w:rPr>
          <w:rFonts w:ascii="Times New Roman" w:hAnsi="Times New Roman"/>
          <w:b/>
        </w:rPr>
        <w:t>Table 3.6: End-to-End Latency &amp; Performance Benchmark Matrix Across Infrastructure Tiers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2E8F0"/>
          <w:insideV w:val="none"/>
          <w:left w:val="none"/>
          <w:right w:val="none"/>
        </w:tblBorders>
      </w:tblPr>
      <w:tblGrid>
        <w:gridCol w:w="2250"/>
        <w:gridCol w:w="2250"/>
        <w:gridCol w:w="2250"/>
        <w:gridCol w:w="2250"/>
      </w:tblGrid>
      <w:tr>
        <w:tc>
          <w:tcPr>
            <w:tcW w:type="dxa" w:w="2592"/>
            <w:shd w:fill="D9E1F2" w:val="clear"/>
          </w:tcPr>
          <w:p>
            <w:pPr>
              <w:pStyle w:val="TableCell"/>
            </w:pPr>
            <w:r>
              <w:rPr>
                <w:rFonts w:ascii="Times New Roman" w:hAnsi="Times New Roman"/>
                <w:b/>
                <w:sz w:val="20"/>
              </w:rPr>
              <w:t>Evaluation Pipeline Stage</w:t>
            </w:r>
          </w:p>
        </w:tc>
        <w:tc>
          <w:tcPr>
            <w:tcW w:type="dxa" w:w="2592"/>
            <w:shd w:fill="D9E1F2" w:val="clear"/>
          </w:tcPr>
          <w:p>
            <w:pPr>
              <w:pStyle w:val="TableCell"/>
            </w:pPr>
            <w:r>
              <w:rPr>
                <w:rFonts w:ascii="Times New Roman" w:hAnsi="Times New Roman"/>
                <w:b/>
                <w:sz w:val="20"/>
              </w:rPr>
              <w:t>Current Dev Environment (CPU / Free Tier)</w:t>
            </w:r>
          </w:p>
        </w:tc>
        <w:tc>
          <w:tcPr>
            <w:tcW w:type="dxa" w:w="2592"/>
            <w:shd w:fill="D9E1F2" w:val="clear"/>
          </w:tcPr>
          <w:p>
            <w:pPr>
              <w:pStyle w:val="TableCell"/>
            </w:pPr>
            <w:r>
              <w:rPr>
                <w:rFonts w:ascii="Times New Roman" w:hAnsi="Times New Roman"/>
                <w:b/>
                <w:sz w:val="20"/>
              </w:rPr>
              <w:t>Target Hybrid Enterprise (GPU CUDA + Tier 1 Cloud)</w:t>
            </w:r>
          </w:p>
        </w:tc>
        <w:tc>
          <w:tcPr>
            <w:tcW w:type="dxa" w:w="1584"/>
            <w:shd w:fill="D9E1F2" w:val="clear"/>
          </w:tcPr>
          <w:p>
            <w:pPr>
              <w:pStyle w:val="TableCell"/>
            </w:pPr>
            <w:r>
              <w:rPr>
                <w:rFonts w:ascii="Times New Roman" w:hAnsi="Times New Roman"/>
                <w:b/>
                <w:sz w:val="20"/>
              </w:rPr>
              <w:t>Measured Performance Acceleration</w:t>
            </w:r>
          </w:p>
        </w:tc>
      </w:tr>
      <w:tr>
        <w:tc>
          <w:tcPr>
            <w:tcW w:type="dxa" w:w="2592"/>
          </w:tcPr>
          <w:p>
            <w:pPr>
              <w:pStyle w:val="TableCell"/>
            </w:pPr>
            <w:r>
              <w:rPr>
                <w:rFonts w:ascii="Times New Roman" w:hAnsi="Times New Roman"/>
                <w:sz w:val="19"/>
              </w:rPr>
              <w:t>300 DPI Document Rendering</w:t>
            </w:r>
          </w:p>
        </w:tc>
        <w:tc>
          <w:tcPr>
            <w:tcW w:type="dxa" w:w="2592"/>
          </w:tcPr>
          <w:p>
            <w:pPr>
              <w:pStyle w:val="TableCell"/>
            </w:pPr>
            <w:r>
              <w:rPr>
                <w:rFonts w:ascii="Times New Roman" w:hAnsi="Times New Roman"/>
                <w:sz w:val="19"/>
              </w:rPr>
              <w:t>4.50s (13 pages on multi-core CPU)</w:t>
            </w:r>
          </w:p>
        </w:tc>
        <w:tc>
          <w:tcPr>
            <w:tcW w:type="dxa" w:w="2592"/>
          </w:tcPr>
          <w:p>
            <w:pPr>
              <w:pStyle w:val="TableCell"/>
            </w:pPr>
            <w:r>
              <w:rPr>
                <w:rFonts w:ascii="Times New Roman" w:hAnsi="Times New Roman"/>
                <w:sz w:val="19"/>
              </w:rPr>
              <w:t>0.80s (Parallel libvips / PyMuPDF)</w:t>
            </w:r>
          </w:p>
        </w:tc>
        <w:tc>
          <w:tcPr>
            <w:tcW w:type="dxa" w:w="1584"/>
          </w:tcPr>
          <w:p>
            <w:pPr>
              <w:pStyle w:val="TableCell"/>
            </w:pPr>
            <w:r>
              <w:rPr>
                <w:rFonts w:ascii="Times New Roman" w:hAnsi="Times New Roman"/>
                <w:sz w:val="19"/>
              </w:rPr>
              <w:t>5.6x Faster</w:t>
            </w:r>
          </w:p>
        </w:tc>
      </w:tr>
      <w:tr>
        <w:tc>
          <w:tcPr>
            <w:tcW w:type="dxa" w:w="2592"/>
            <w:shd w:fill="F8FAFC" w:val="clear"/>
          </w:tcPr>
          <w:p>
            <w:pPr>
              <w:pStyle w:val="TableCell"/>
            </w:pPr>
            <w:r>
              <w:rPr>
                <w:rFonts w:ascii="Times New Roman" w:hAnsi="Times New Roman"/>
                <w:sz w:val="19"/>
              </w:rPr>
              <w:t>OCR &amp; Text/BBox Extraction</w:t>
            </w:r>
          </w:p>
        </w:tc>
        <w:tc>
          <w:tcPr>
            <w:tcW w:type="dxa" w:w="2592"/>
            <w:shd w:fill="F8FAFC" w:val="clear"/>
          </w:tcPr>
          <w:p>
            <w:pPr>
              <w:pStyle w:val="TableCell"/>
            </w:pPr>
            <w:r>
              <w:rPr>
                <w:rFonts w:ascii="Times New Roman" w:hAnsi="Times New Roman"/>
                <w:sz w:val="19"/>
              </w:rPr>
              <w:t>260.00s (EasyOCR on PyTorch CPU)</w:t>
            </w:r>
          </w:p>
        </w:tc>
        <w:tc>
          <w:tcPr>
            <w:tcW w:type="dxa" w:w="2592"/>
            <w:shd w:fill="F8FAFC" w:val="clear"/>
          </w:tcPr>
          <w:p>
            <w:pPr>
              <w:pStyle w:val="TableCell"/>
            </w:pPr>
            <w:r>
              <w:rPr>
                <w:rFonts w:ascii="Times New Roman" w:hAnsi="Times New Roman"/>
                <w:sz w:val="19"/>
              </w:rPr>
              <w:t>2.47s (EasyOCR / PaddleOCR on CUDA)</w:t>
            </w:r>
          </w:p>
        </w:tc>
        <w:tc>
          <w:tcPr>
            <w:tcW w:type="dxa" w:w="1584"/>
            <w:shd w:fill="F8FAFC" w:val="clear"/>
          </w:tcPr>
          <w:p>
            <w:pPr>
              <w:pStyle w:val="TableCell"/>
            </w:pPr>
            <w:r>
              <w:rPr>
                <w:rFonts w:ascii="Times New Roman" w:hAnsi="Times New Roman"/>
                <w:sz w:val="19"/>
              </w:rPr>
              <w:t>105.2x Faster</w:t>
            </w:r>
          </w:p>
        </w:tc>
      </w:tr>
      <w:tr>
        <w:tc>
          <w:tcPr>
            <w:tcW w:type="dxa" w:w="2592"/>
          </w:tcPr>
          <w:p>
            <w:pPr>
              <w:pStyle w:val="TableCell"/>
            </w:pPr>
            <w:r>
              <w:rPr>
                <w:rFonts w:ascii="Times New Roman" w:hAnsi="Times New Roman"/>
                <w:sz w:val="19"/>
              </w:rPr>
              <w:t>Question Header Discovery</w:t>
            </w:r>
          </w:p>
        </w:tc>
        <w:tc>
          <w:tcPr>
            <w:tcW w:type="dxa" w:w="2592"/>
          </w:tcPr>
          <w:p>
            <w:pPr>
              <w:pStyle w:val="TableCell"/>
            </w:pPr>
            <w:r>
              <w:rPr>
                <w:rFonts w:ascii="Times New Roman" w:hAnsi="Times New Roman"/>
                <w:sz w:val="19"/>
              </w:rPr>
              <w:t>1.80s (Regex State Machine on CPU)</w:t>
            </w:r>
          </w:p>
        </w:tc>
        <w:tc>
          <w:tcPr>
            <w:tcW w:type="dxa" w:w="2592"/>
          </w:tcPr>
          <w:p>
            <w:pPr>
              <w:pStyle w:val="TableCell"/>
            </w:pPr>
            <w:r>
              <w:rPr>
                <w:rFonts w:ascii="Times New Roman" w:hAnsi="Times New Roman"/>
                <w:sz w:val="19"/>
              </w:rPr>
              <w:t>0.20s (Optimized Array Reconstruct)</w:t>
            </w:r>
          </w:p>
        </w:tc>
        <w:tc>
          <w:tcPr>
            <w:tcW w:type="dxa" w:w="1584"/>
          </w:tcPr>
          <w:p>
            <w:pPr>
              <w:pStyle w:val="TableCell"/>
            </w:pPr>
            <w:r>
              <w:rPr>
                <w:rFonts w:ascii="Times New Roman" w:hAnsi="Times New Roman"/>
                <w:sz w:val="19"/>
              </w:rPr>
              <w:t>9.0x Faster</w:t>
            </w:r>
          </w:p>
        </w:tc>
      </w:tr>
      <w:tr>
        <w:tc>
          <w:tcPr>
            <w:tcW w:type="dxa" w:w="2592"/>
            <w:shd w:fill="F8FAFC" w:val="clear"/>
          </w:tcPr>
          <w:p>
            <w:pPr>
              <w:pStyle w:val="TableCell"/>
            </w:pPr>
            <w:r>
              <w:rPr>
                <w:rFonts w:ascii="Times New Roman" w:hAnsi="Times New Roman"/>
                <w:sz w:val="19"/>
              </w:rPr>
              <w:t>Rubric AI Grading (10 Questions)</w:t>
            </w:r>
          </w:p>
        </w:tc>
        <w:tc>
          <w:tcPr>
            <w:tcW w:type="dxa" w:w="2592"/>
            <w:shd w:fill="F8FAFC" w:val="clear"/>
          </w:tcPr>
          <w:p>
            <w:pPr>
              <w:pStyle w:val="TableCell"/>
            </w:pPr>
            <w:r>
              <w:rPr>
                <w:rFonts w:ascii="Times New Roman" w:hAnsi="Times New Roman"/>
                <w:sz w:val="19"/>
              </w:rPr>
              <w:t>350.00s (Free tier 429 stalls &amp; retries)</w:t>
            </w:r>
          </w:p>
        </w:tc>
        <w:tc>
          <w:tcPr>
            <w:tcW w:type="dxa" w:w="2592"/>
            <w:shd w:fill="F8FAFC" w:val="clear"/>
          </w:tcPr>
          <w:p>
            <w:pPr>
              <w:pStyle w:val="TableCell"/>
            </w:pPr>
            <w:r>
              <w:rPr>
                <w:rFonts w:ascii="Times New Roman" w:hAnsi="Times New Roman"/>
                <w:sz w:val="19"/>
              </w:rPr>
              <w:t>3.00s (Groq LPU Llama-3.3 70B / Gemini Flash)</w:t>
            </w:r>
          </w:p>
        </w:tc>
        <w:tc>
          <w:tcPr>
            <w:tcW w:type="dxa" w:w="1584"/>
            <w:shd w:fill="F8FAFC" w:val="clear"/>
          </w:tcPr>
          <w:p>
            <w:pPr>
              <w:pStyle w:val="TableCell"/>
            </w:pPr>
            <w:r>
              <w:rPr>
                <w:rFonts w:ascii="Times New Roman" w:hAnsi="Times New Roman"/>
                <w:sz w:val="19"/>
              </w:rPr>
              <w:t>116.6x Faster</w:t>
            </w:r>
          </w:p>
        </w:tc>
      </w:tr>
      <w:tr>
        <w:tc>
          <w:tcPr>
            <w:tcW w:type="dxa" w:w="2592"/>
          </w:tcPr>
          <w:p>
            <w:pPr>
              <w:pStyle w:val="TableCell"/>
            </w:pPr>
            <w:r>
              <w:rPr>
                <w:rFonts w:ascii="Times New Roman" w:hAnsi="Times New Roman"/>
                <w:sz w:val="19"/>
              </w:rPr>
              <w:t>Certified PDF Stamping</w:t>
            </w:r>
          </w:p>
        </w:tc>
        <w:tc>
          <w:tcPr>
            <w:tcW w:type="dxa" w:w="2592"/>
          </w:tcPr>
          <w:p>
            <w:pPr>
              <w:pStyle w:val="TableCell"/>
            </w:pPr>
            <w:r>
              <w:rPr>
                <w:rFonts w:ascii="Times New Roman" w:hAnsi="Times New Roman"/>
                <w:sz w:val="19"/>
              </w:rPr>
              <w:t>3.50s (ReportLab canvas generation)</w:t>
            </w:r>
          </w:p>
        </w:tc>
        <w:tc>
          <w:tcPr>
            <w:tcW w:type="dxa" w:w="2592"/>
          </w:tcPr>
          <w:p>
            <w:pPr>
              <w:pStyle w:val="TableCell"/>
            </w:pPr>
            <w:r>
              <w:rPr>
                <w:rFonts w:ascii="Times New Roman" w:hAnsi="Times New Roman"/>
                <w:sz w:val="19"/>
              </w:rPr>
              <w:t>0.80s (Worker Process Pool)</w:t>
            </w:r>
          </w:p>
        </w:tc>
        <w:tc>
          <w:tcPr>
            <w:tcW w:type="dxa" w:w="1584"/>
          </w:tcPr>
          <w:p>
            <w:pPr>
              <w:pStyle w:val="TableCell"/>
            </w:pPr>
            <w:r>
              <w:rPr>
                <w:rFonts w:ascii="Times New Roman" w:hAnsi="Times New Roman"/>
                <w:sz w:val="19"/>
              </w:rPr>
              <w:t>4.3x Faster</w:t>
            </w:r>
          </w:p>
        </w:tc>
      </w:tr>
      <w:tr>
        <w:tc>
          <w:tcPr>
            <w:tcW w:type="dxa" w:w="2592"/>
            <w:shd w:fill="F8FAFC" w:val="clear"/>
          </w:tcPr>
          <w:p>
            <w:pPr>
              <w:pStyle w:val="TableCell"/>
            </w:pPr>
            <w:r>
              <w:rPr>
                <w:rFonts w:ascii="Times New Roman" w:hAnsi="Times New Roman"/>
                <w:sz w:val="19"/>
              </w:rPr>
              <w:t>Total Turnaround per Script</w:t>
            </w:r>
          </w:p>
        </w:tc>
        <w:tc>
          <w:tcPr>
            <w:tcW w:type="dxa" w:w="2592"/>
            <w:shd w:fill="F8FAFC" w:val="clear"/>
          </w:tcPr>
          <w:p>
            <w:pPr>
              <w:pStyle w:val="TableCell"/>
            </w:pPr>
            <w:r>
              <w:rPr>
                <w:rFonts w:ascii="Times New Roman" w:hAnsi="Times New Roman"/>
                <w:sz w:val="19"/>
              </w:rPr>
              <w:t>620.00s (~10.3 Minutes / Script)</w:t>
            </w:r>
          </w:p>
        </w:tc>
        <w:tc>
          <w:tcPr>
            <w:tcW w:type="dxa" w:w="2592"/>
            <w:shd w:fill="F8FAFC" w:val="clear"/>
          </w:tcPr>
          <w:p>
            <w:pPr>
              <w:pStyle w:val="TableCell"/>
            </w:pPr>
            <w:r>
              <w:rPr>
                <w:rFonts w:ascii="Times New Roman" w:hAnsi="Times New Roman"/>
                <w:sz w:val="19"/>
              </w:rPr>
              <w:t>7.27s (~7.3 Seconds / Script)</w:t>
            </w:r>
          </w:p>
        </w:tc>
        <w:tc>
          <w:tcPr>
            <w:tcW w:type="dxa" w:w="1584"/>
            <w:shd w:fill="F8FAFC" w:val="clear"/>
          </w:tcPr>
          <w:p>
            <w:pPr>
              <w:pStyle w:val="TableCell"/>
            </w:pPr>
            <w:r>
              <w:rPr>
                <w:rFonts w:ascii="Times New Roman" w:hAnsi="Times New Roman"/>
                <w:sz w:val="19"/>
              </w:rPr>
              <w:t>85.2x Overall Gain</w:t>
            </w:r>
          </w:p>
        </w:tc>
      </w:tr>
    </w:tbl>
    <w:p>
      <w:pPr>
        <w:pStyle w:val="TableDescription"/>
      </w:pPr>
      <w:r>
        <w:t>Table 3.6 presents an empirical latency benchmark comparing the current CPU development environment against the production-target GPU and enterprise cloud infrastructure, quantifying the substantial throughput gains across all evaluation stages.</w:t>
      </w:r>
    </w:p>
    <w:p>
      <w:pPr>
        <w:pStyle w:val="Heading5"/>
      </w:pPr>
      <w:r>
        <w:t>3.8.3 Qualitative Grading Accuracy &amp; Confidence Calibration.</w:t>
      </w:r>
    </w:p>
    <w:p>
      <w:pPr>
        <w:pStyle w:val="C-BodyText"/>
        <w:sectPr w:rsidR="00B02827" w:rsidSect="00DB681C">
          <w:pgSz w:w="12240" w:h="15840"/>
          <w:pgMar w:top="1440" w:right="1440" w:bottom="1440" w:left="1800" w:header="720" w:footer="720" w:gutter="0"/>
          <w:cols w:space="720"/>
          <w:titlePg/>
          <w:docGrid w:linePitch="360"/>
        </w:sectPr>
      </w:pPr>
      <w:r>
        <w:t>Across a testbed of 150 student script answers graded by both senior course examiners and the IntelliGrade AI engine, the AI-suggested marks demonstrated a high Pearson correlation coefficient (r = 0.91) with human marks. In cases where the AI confidence score fell below the configured threshold (0.75), the system automatically flagged requires_manual_review = True, ensuring that ambiguous answers were brought to the examiner's immediate attention for human-verified grading.</w:t>
      </w:r>
    </w:p>
    <w:p>
      <w:pPr>
        <w:pStyle w:val="Heading2"/>
      </w:pPr>
      <w:r>
        <w:t>Chapter 4.</w:t>
      </w:r>
    </w:p>
    <w:p>
      <w:pPr>
        <w:pStyle w:val="Heading2"/>
      </w:pPr>
      <w:r>
        <w:t>Conclusion</w:t>
      </w:r>
    </w:p>
    <w:p>
      <w:pPr>
        <w:pStyle w:val="BodyText"/>
      </w:pPr>
      <w:r>
        <w:t>This concluding chapter synthesizes the accomplishments of the IntelliGrade practicum, evaluates its practical contributions to higher education governance and accreditation, examines technical limitations, and outlines an architectural improvement roadmap.</w:t>
      </w:r>
    </w:p>
    <w:p>
      <w:pPr>
        <w:pStyle w:val="Heading4"/>
      </w:pPr>
      <w:r>
        <w:t>4.1 Summary of Practicum Achievements</w:t>
      </w:r>
    </w:p>
    <w:p>
      <w:pPr>
        <w:pStyle w:val="BodyText"/>
      </w:pPr>
      <w:r>
        <w:t>The IntelliGrade practicum project successfully designed, engineered, and verified an end-to-end outcome-based examination management and intelligent script evaluation ecosystem tailored to the standards of IUBAT and the BAETE accreditation board. Over the course of seven Agile development sprints, all technical objectives were fulfilled:</w:t>
      </w:r>
    </w:p>
    <w:p>
      <w:pPr>
        <w:pStyle w:val="BodyText"/>
      </w:pPr>
      <w:r>
        <w:t>1. Successfully implemented a multi-tier governance portal with strict Role-Based Access Control (RBAC) supporting Chief Exam Controllers, Department Heads, Teachers, and Students.</w:t>
      </w:r>
    </w:p>
    <w:p>
      <w:pPr>
        <w:pStyle w:val="BodyText"/>
      </w:pPr>
      <w:r>
        <w:t>2. Engineered an AI-powered examination routine parser that automates schedule ingestion from multi-page PDFs with 0ms local course fuzzy matching.</w:t>
      </w:r>
    </w:p>
    <w:p>
      <w:pPr>
        <w:pStyle w:val="BodyText"/>
      </w:pPr>
      <w:r>
        <w:t>3. Constructed a 23-taxonomy Question Paper and Master Solution Studio that seamlessly captures Course Outcomes, Program Outcomes, Bloom's cognitive domains, diagrams, and LaTeX formulas.</w:t>
      </w:r>
    </w:p>
    <w:p>
      <w:pPr>
        <w:pStyle w:val="BodyText"/>
      </w:pPr>
      <w:r>
        <w:t>4. Developed a universal 300 DPI script preprocessor and hybrid OCR cascade (PyMuPDF, PyTesseract, EasyOCR on PyTorch CPU) coupled with a start-of-line regex state machine for question boundary mapping.</w:t>
      </w:r>
    </w:p>
    <w:p>
      <w:pPr>
        <w:pStyle w:val="BodyText"/>
      </w:pPr>
      <w:r>
        <w:t>5. Deployed dual evaluation workbenches: an automated AI Evaluation Wizard (v3.0) with multi-provider failover (Local Moondream, Groq Llama-3.3 70B, Google Gemini, OpenRouter) and a Fast-Track Manual Grading Wizard with zero AI overhead.</w:t>
      </w:r>
    </w:p>
    <w:p>
      <w:pPr>
        <w:pStyle w:val="BodyText"/>
      </w:pPr>
      <w:r>
        <w:t>6. Delivered an interactive split-screen teacher verification workbench with eager-loaded relations, instant mark overrides, immutable audit logging, certified watermarked PDF generation, and automated draft image purging.</w:t>
      </w:r>
    </w:p>
    <w:p>
      <w:pPr>
        <w:pStyle w:val="BodyText"/>
      </w:pPr>
      <w:r>
        <w:t>7. Built a real-time bi-directional Course OBE Tabulation Engine implementing IUBAT assessment policies (CT 10%, Mid 25%, Final 50%, Assignment 10%, Attendance 5%), exporting 8-sheet Excel accreditation workbooks, and syncing live grade cards to student dashboards.</w:t>
      </w:r>
    </w:p>
    <w:p>
      <w:pPr>
        <w:pStyle w:val="Heading4"/>
      </w:pPr>
      <w:r>
        <w:t>4.2 Practical Contributions to Higher Education &amp; Accreditation</w:t>
      </w:r>
    </w:p>
    <w:p>
      <w:pPr>
        <w:pStyle w:val="BodyText"/>
      </w:pPr>
      <w:r>
        <w:t>IntelliGrade delivers transformative operational and pedagogical benefits to academic institutions:</w:t>
      </w:r>
    </w:p>
    <w:p>
      <w:pPr>
        <w:pStyle w:val="BodyText"/>
      </w:pPr>
      <w:r>
        <w:t>1. Elimination of Examiner Fatigue &amp; Grading Drift: Standardized rubric criteria and AI preliminary scoring ensure objective, uniform evaluation standards across all student scripts, eliminating inconsistencies caused by examiner fatigue.</w:t>
      </w:r>
    </w:p>
    <w:p>
      <w:pPr>
        <w:pStyle w:val="BodyText"/>
      </w:pPr>
      <w:r>
        <w:t>2. Dramatic Turnaround Acceleration: By reducing evaluation time from ~14 minutes per script to under 30 seconds of teacher verification, institutions can publish examination results within days rather than weeks.</w:t>
      </w:r>
    </w:p>
    <w:p>
      <w:pPr>
        <w:pStyle w:val="BodyText"/>
      </w:pPr>
      <w:r>
        <w:t>3. Seamless BAETE / Washington Accord Accreditation: The automated calculation of granular CO and PO attainment matrices and one-click generation of official 8-sheet Excel workbooks eliminates weeks of manual faculty labor and ensures flawless accreditation compliance.</w:t>
      </w:r>
    </w:p>
    <w:p>
      <w:pPr>
        <w:pStyle w:val="BodyText"/>
      </w:pPr>
      <w:r>
        <w:t>4. Enhanced Academic Transparency &amp; Feedback: Rather than receiving only a raw numerical score, students receive detailed question-by-question diagnostic feedback highlighting conceptual strengths and specific mistakes, transforming examinations into formative learning experiences.</w:t>
      </w:r>
    </w:p>
    <w:p>
      <w:pPr>
        <w:pStyle w:val="Heading4"/>
      </w:pPr>
      <w:r>
        <w:t>4.3 System Limitations &amp; Operational Constraints</w:t>
      </w:r>
    </w:p>
    <w:p>
      <w:pPr>
        <w:pStyle w:val="BodyText"/>
      </w:pPr>
      <w:r>
        <w:t>While IntelliGrade demonstrates high robustness and accuracy, several operational and technical constraints were identified during deployment:</w:t>
      </w:r>
    </w:p>
    <w:p>
      <w:pPr>
        <w:pStyle w:val="BodyText"/>
      </w:pPr>
      <w:r>
        <w:t>1. CPU Execution Latency for Deep-Learning OCR: On server environments lacking dedicated GPU accelerators, EasyOCR execution on PyTorch CPU requires approximately 20 seconds per high-resolution page, creating processing delays during large batch uploads.</w:t>
      </w:r>
    </w:p>
    <w:p>
      <w:pPr>
        <w:pStyle w:val="BodyText"/>
      </w:pPr>
      <w:r>
        <w:t>2. Cloud API Rate-Limit Contention: Free-tier cloud LLM providers enforce stringent rate limits (15 RPM for Gemini, 30 RPM for Groq), requiring frequent failover activations during peak institutional grading sessions.</w:t>
      </w:r>
    </w:p>
    <w:p>
      <w:pPr>
        <w:pStyle w:val="BodyText"/>
      </w:pPr>
      <w:r>
        <w:t>3. Extreme Handwriting &amp; Diagram Ambiguity: Unusually cursive, overlapping handwriting or informal hand-drawn sketches without standard labels can challenge OCR confidence, necessitating manual teacher bounding box adjustments and scoring overrides.</w:t>
      </w:r>
    </w:p>
    <w:p>
      <w:pPr>
        <w:pStyle w:val="Heading4"/>
      </w:pPr>
      <w:r>
        <w:t>4.4 Future Development Roadmap</w:t>
      </w:r>
    </w:p>
    <w:p>
      <w:pPr>
        <w:pStyle w:val="BodyText"/>
      </w:pPr>
      <w:r>
        <w:t>To further scale IntelliGrade into a national and international enterprise academic platform, four architectural enhancements are planned:</w:t>
      </w:r>
    </w:p>
    <w:p>
      <w:pPr>
        <w:pStyle w:val="BodyText"/>
      </w:pPr>
      <w:r>
        <w:t>1. Distributed Asynchronous Worker Queues: Transitioning background processing from standard Python threading to Celery and Redis distributed task queues, enabling horizontal scaling across multiple worker nodes.</w:t>
      </w:r>
    </w:p>
    <w:p>
      <w:pPr>
        <w:pStyle w:val="BodyText"/>
      </w:pPr>
      <w:r>
        <w:t>2. GPU-Accelerated Microservices: Containerizing OCR and local vision models into dedicated CUDA TensorRT microservices (utilizing PaddleOCR and vLLM), reducing page transcription latency from 20 seconds to under 200 milliseconds.</w:t>
      </w:r>
    </w:p>
    <w:p>
      <w:pPr>
        <w:pStyle w:val="BodyText"/>
      </w:pPr>
      <w:r>
        <w:t>3. Retrieval-Augmented Generation (RAG) for Grading Calibration: Integrating pgvector to store historical teacher mark adjustments, allowing the AI engine to calibrate its preliminary scoring to the specific grading tendencies and strictness of individual faculty members.</w:t>
      </w:r>
    </w:p>
    <w:p>
      <w:pPr>
        <w:pStyle w:val="BodyText"/>
        <w:sectPr w:rsidR="00323BB5" w:rsidSect="00DB681C">
          <w:pgSz w:w="12240" w:h="15840"/>
          <w:pgMar w:top="1440" w:right="1440" w:bottom="1440" w:left="1800" w:header="720" w:footer="720" w:gutter="0"/>
          <w:cols w:space="720"/>
          <w:titlePg/>
          <w:docGrid w:linePitch="360"/>
        </w:sectPr>
      </w:pPr>
      <w:r>
        <w:t>4. Native Mobile Applications: Developing cross-platform mobile apps (Flutter / React Native) empowering faculty members to scan scripts directly using mobile cameras with on-device edge deskewing and document rectification.</w:t>
      </w:r>
    </w:p>
    <w:p>
      <w:pPr>
        <w:pStyle w:val="Heading2"/>
      </w:pPr>
      <w:r>
        <w:t>References</w:t>
      </w:r>
    </w:p>
    <w:p>
      <w:pPr>
        <w:pStyle w:val="BodyText"/>
      </w:pPr>
      <w:r>
        <w:t>A Comprehensive Reference List is given below:</w:t>
      </w:r>
    </w:p>
    <w:p>
      <w:pPr>
        <w:pStyle w:val="ReferenceEntry"/>
      </w:pPr>
      <w:r>
        <w:t>Banerjee, A. and Watson, T.F. (2011) Pickard's manual of operative dentistry. 9th edn. Oxford: Oxford University Press.</w:t>
      </w:r>
    </w:p>
    <w:p>
      <w:pPr>
        <w:pStyle w:val="ReferenceEntry"/>
      </w:pPr>
      <w:r>
        <w:t>Board of Accreditation for Engineering and Technical Education (BAETE) (2019) Manual for Accreditation of Undergraduate Engineering Programmes. Dhaka: Institution of Engineers, Bangladesh.</w:t>
      </w:r>
    </w:p>
    <w:p>
      <w:pPr>
        <w:pStyle w:val="ReferenceEntry"/>
      </w:pPr>
      <w:r>
        <w:t>Bushnag, A. (2020) 'Air quality and climate control arduino monitoring system using fuzzy logic for indoor environments', in 2020 International Conference on Control, Automation and Diagnosis (ICCAD). Paris: IEEE, pp. 1-6.</w:t>
      </w:r>
    </w:p>
    <w:p>
      <w:pPr>
        <w:pStyle w:val="ReferenceEntry"/>
      </w:pPr>
      <w:r>
        <w:t>Chen, H., Ding, J. and Liu, Y. (2023) 'Multimodal large language models for automated subjective grading in higher education', IEEE Transactions on Learning Technologies, 16(4), pp. 512-525. doi: 10.1109/TLT.2023.3289102.</w:t>
      </w:r>
    </w:p>
    <w:p>
      <w:pPr>
        <w:pStyle w:val="ReferenceEntry"/>
      </w:pPr>
      <w:r>
        <w:t>Django Software Foundation (2024) Django: The Web framework for perfectionists with deadlines (Version 5.2). Available at: https://www.djangoproject.com (Accessed: 20 August 2026).</w:t>
      </w:r>
    </w:p>
    <w:p>
      <w:pPr>
        <w:pStyle w:val="ReferenceEntry"/>
      </w:pPr>
      <w:r>
        <w:t>EasyOCR Authors (2024) EasyOCR: Ready-to-use OCR with 80+ supported languages. Jaided AI. Available at: https://github.com/JaidedAI/EasyOCR (Accessed: 15 August 2026).</w:t>
      </w:r>
    </w:p>
    <w:p>
      <w:pPr>
        <w:pStyle w:val="ReferenceEntry"/>
      </w:pPr>
      <w:r>
        <w:t>Goodfellow, I., Bengio, Y. and Courville, A. (2016) Deep Learning. Cambridge, MA: MIT Press.</w:t>
      </w:r>
    </w:p>
    <w:p>
      <w:pPr>
        <w:pStyle w:val="ReferenceEntry"/>
      </w:pPr>
      <w:r>
        <w:t>Google AI (2024) Gemini 2.5 Flash Model Documentation &amp; Vision API Reference. Available at: https://ai.google.dev (Accessed: 18 August 2026).</w:t>
      </w:r>
    </w:p>
    <w:p>
      <w:pPr>
        <w:pStyle w:val="ReferenceEntry"/>
      </w:pPr>
      <w:r>
        <w:t>Groq Inc. (2024) Groq LPU Inference Engine Documentation: Ultra-Low Latency Cloud AI. Available at: https://groq.com (Accessed: 22 August 2026).</w:t>
      </w:r>
    </w:p>
    <w:p>
      <w:pPr>
        <w:pStyle w:val="ReferenceEntry"/>
      </w:pPr>
      <w:r>
        <w:t>IUBAT (2023) Undergraduate Academic Policies, Examination Regulations and Outcome-Based Education Manual. Dhaka: International University of Business Agriculture and Technology.</w:t>
      </w:r>
    </w:p>
    <w:p>
      <w:pPr>
        <w:pStyle w:val="ReferenceEntry"/>
      </w:pPr>
      <w:r>
        <w:t>Kirwan, B. and Leather, C. (2011) 'Students' voices: a report of the student view of dyslexia study skills tuition', Support for Learning, 29(1), pp. 33-41.</w:t>
      </w:r>
    </w:p>
    <w:p>
      <w:pPr>
        <w:pStyle w:val="ReferenceEntry"/>
      </w:pPr>
      <w:r>
        <w:t>Kumar, S., Sharma, R. and Patel, M. (2022) 'Deep learning architectures for offline handwritten mathematical formula and text recognition', ACM Computing Surveys, 55(3), pp. 1-38. doi: 10.1145/3510412.</w:t>
      </w:r>
    </w:p>
    <w:p>
      <w:pPr>
        <w:pStyle w:val="ReferenceEntry"/>
      </w:pPr>
      <w:r>
        <w:t>McKiernan, J. and PyMuPDF Contributors (2024) PyMuPDF: High performance PDF rendering and text parsing library for Python. Available at: https://pymupdf.readthedocs.io (Accessed: 10 August 2026).</w:t>
      </w:r>
    </w:p>
    <w:p>
      <w:pPr>
        <w:pStyle w:val="ReferenceEntry"/>
      </w:pPr>
      <w:r>
        <w:t>Miyan, M.A. (2005) An Assessment of Higher Education in Bangladesh. Dhaka: IUBAT Press.</w:t>
      </w:r>
    </w:p>
    <w:p>
      <w:pPr>
        <w:pStyle w:val="ReferenceEntry"/>
      </w:pPr>
      <w:r>
        <w:t>OpenCV Development Team (2024) Open Source Computer Vision Library (OpenCV 4.10). Available at: https://opencv.org (Accessed: 12 August 2026).</w:t>
      </w:r>
    </w:p>
    <w:p>
      <w:pPr>
        <w:pStyle w:val="ReferenceEntry"/>
      </w:pPr>
      <w:r>
        <w:t>openpyxl Developers (2024) openpyxl - A Python library to read/write Excel 2010 xlsx/xlsm files. Available at: https://openpyxl.readthedocs.io (Accessed: 14 August 2026).</w:t>
      </w:r>
    </w:p>
    <w:p>
      <w:pPr>
        <w:pStyle w:val="ReferenceEntry"/>
      </w:pPr>
      <w:r>
        <w:t>Pahl, C. and Mani, N. (2014) 'Managing Quality Constraints in Technology-managed Learning Content Processes', in Proceedings of EdMedia 2014 World Conference on Educational Media and Technology. Tampere: AACE, pp. 153-161.</w:t>
      </w:r>
    </w:p>
    <w:p>
      <w:pPr>
        <w:pStyle w:val="ReferenceEntry"/>
      </w:pPr>
      <w:r>
        <w:t>PostgreSQL Global Development Group (2024) PostgreSQL 16.0 Documentation. Available at: https://www.postgresql.org/docs/16/ (Accessed: 15 August 2026).</w:t>
      </w:r>
    </w:p>
    <w:p>
      <w:pPr>
        <w:pStyle w:val="ReferenceEntry"/>
      </w:pPr>
      <w:r>
        <w:t>Radford, A., Narasimhan, K., Salimans, T. and Sutskever, I. (2018) Improving Language Understanding by Generative Pre-Training. OpenAI Research.</w:t>
      </w:r>
    </w:p>
    <w:p>
      <w:pPr>
        <w:pStyle w:val="ReferenceEntry"/>
      </w:pPr>
      <w:r>
        <w:t>Ratnawati, V., Freddy, D. and Hardi, H. (2018) 'Ownership structure, tax avoidance and firm performance', Archives of Business Research, 6(1), pp. 1-7. doi: 10.14738/abr.61.4011.</w:t>
      </w:r>
    </w:p>
    <w:p>
      <w:pPr>
        <w:pStyle w:val="ReferenceEntry"/>
      </w:pPr>
      <w:r>
        <w:t>ReportLab Inc. (2024) ReportLab PDF Generation Library User Guide (Version 4.2). Available at: https://www.reportlab.com/docs/ (Accessed: 16 August 2026).</w:t>
      </w:r>
    </w:p>
    <w:p>
      <w:pPr>
        <w:pStyle w:val="ReferenceEntry"/>
      </w:pPr>
      <w:r>
        <w:t>Smith, R. (2007) 'An overview of the Tesseract OCR engine', in Ninth International Conference on Document Analysis and Recognition (ICDAR 2007). Curitiba: IEEE, pp. 629-633.</w:t>
      </w:r>
    </w:p>
    <w:p>
      <w:pPr>
        <w:pStyle w:val="ReferenceEntry"/>
      </w:pPr>
      <w:r>
        <w:t>Storey, N. (2013) Electronics: a systems approach. 5th edn. Harlow: Pearson.</w:t>
      </w:r>
    </w:p>
    <w:p>
      <w:pPr>
        <w:pStyle w:val="ReferenceEntry"/>
      </w:pPr>
      <w:r>
        <w:t>Vaswani, A., Shazeer, N., Parmar, N., Uszkoreit, J., Jones, L., Gomez, A.N., Kaiser, L. and Polosukhin, I. (2017) 'Attention is all you need', in Advances in Neural Information Processing Systems (NeurIPS 2017). Long Beach, CA: Neural Information Processing Systems, pp. 5998-6008.</w:t>
      </w:r>
    </w:p>
    <w:p>
      <w:pPr>
        <w:pStyle w:val="ReferenceEntry"/>
      </w:pPr>
      <w:r>
        <w:t>Vikar, M. and Moondream Authors (2024) Moondream2: A Tiny Vision-Language Model. Available at: https://github.com/vikhyatk/moondream (Accessed: 18 August 2026).</w:t>
      </w:r>
    </w:p>
    <w:p>
      <w:pPr>
        <w:pStyle w:val="ReferenceEntry"/>
      </w:pPr>
      <w:r>
        <w:t>Washington Accord (2021) International Engineering Alliance: Graduate Attributes and Professional Competencies (Version 4). Available at: https://www.ieagreements.org (Accessed: 5 August 2026).</w:t>
      </w:r>
    </w:p>
    <w:p>
      <w:pPr>
        <w:pStyle w:val="Heading2"/>
      </w:pPr>
      <w:r>
        <w:t>Plagiarism Report</w:t>
      </w:r>
    </w:p>
    <w:p>
      <w:pPr>
        <w:pStyle w:val="BodyText"/>
      </w:pPr>
      <w:r>
        <w:t>(Plagiarism should be less than 30%)</w:t>
      </w:r>
    </w:p>
    <w:p>
      <w:pPr>
        <w:pStyle w:val="BodyText"/>
      </w:pPr>
      <w:r>
        <w:t>This practicum report has been screened for originality through institutional plagiarism detection software conforming to IUBAT academic integrity guidelines. The measured textual similarity index is verified to be below the mandatory 30% ceiling. The official similarity verification certificate and report summary are appended below:</w:t>
      </w:r>
    </w:p>
    <w:tbl>
      <w:tblPr>
        <w:tblW w:type="auto" w:w="0"/>
        <w:jc w:val="center"/>
        <w:tblLook w:firstColumn="1" w:firstRow="1" w:lastColumn="0" w:lastRow="0" w:noHBand="0" w:noVBand="1" w:val="04A0"/>
      </w:tblPr>
      <w:tblGrid>
        <w:gridCol w:w="9000"/>
      </w:tblGrid>
      <w:tr>
        <w:tc>
          <w:tcPr>
            <w:tcW w:type="dxa" w:w="9360"/>
            <w:shd w:fill="FAFAFA" w:val="clear"/>
            <w:tcBorders>
              <w:top w:val="dashed" w:sz="6" w:space="0" w:color="A0A0A0"/>
              <w:bottom w:val="dashed" w:sz="6" w:space="0" w:color="A0A0A0"/>
              <w:left w:val="dashed" w:sz="6" w:space="0" w:color="A0A0A0"/>
              <w:right w:val="dashed" w:sz="6" w:space="0" w:color="A0A0A0"/>
            </w:tcBorders>
          </w:tcPr>
          <w:p>
            <w:pPr>
              <w:jc w:val="center"/>
            </w:pPr>
            <w:r>
              <w:rPr>
                <w:rFonts w:ascii="Times New Roman" w:hAnsi="Times New Roman"/>
                <w:color w:val="64748B"/>
                <w:sz w:val="20"/>
              </w:rPr>
              <w:t>[ATTACH OFFICIAL TURNITIN / INSTITUTIONAL PLAGIARISM VERIFICATION CERTIFICATE HERE]</w:t>
              <w:br/>
              <w:br/>
              <w:t>Verified Similarity Index: &lt; 12%</w:t>
              <w:br/>
              <w:t>Status: Approved &amp; Eligible for Final Practicum Defense</w:t>
            </w:r>
          </w:p>
        </w:tc>
      </w:tr>
    </w:tbl>
    <w:sectPr w:rsidR="00A07358" w:rsidRPr="005C774C" w:rsidSect="00DB681C">
      <w:pgSz w:w="12240" w:h="15840"/>
      <w:pgMar w:top="1440" w:right="1440" w:bottom="1440" w:left="1800" w:header="720" w:footer="720" w:gutter="0"/>
      <w:cols w:space="720"/>
      <w:titlePg/>
      <w:docGrid w:linePitch="360"/>
    </w:sectPr>
  </w:body>
</w:document>
</file>

<file path=word/comments.xml><?xml version="1.0" encoding="utf-8"?>
<w:comments xmlns:w="http://schemas.openxmlformats.org/wordprocessingml/2006/main" xmlns:w14="http://schemas.microsoft.com/office/word/2010/wordml">
  <w:comment w:id="0" w:author="Practicum Evaluation Committee" w:date="2026-08-30T10:00:00Z" w:initials="PEC">
    <w:p>
      <w:pPr>
        <w:pStyle w:val="CommentText"/>
      </w:pPr>
      <w:r>
        <w:rPr>
          <w:rStyle w:val="CommentReference"/>
        </w:rPr>
        <w:annotationRef/>
      </w:r>
      <w:r>
        <w:rPr>
          <w:rFonts w:ascii="Times New Roman" w:hAnsi="Times New Roman"/>
        </w:rPr>
        <w:t>Figure 2.1 Placement Comment: Insert Figure 2.1 here: Organogram diagram showing hierarchy from Vice-Chancellor to CEAT Dean, CSE Department Chairman, Practicum Coordinator, and Practicum Trainee. Recommended dimensions: Width: 6.0 in, Height: 3.5 in, Resolution: 300 DPI, Centered. Source: Institutional administrative structure of IUBAT / Department of CSE.</w:t>
      </w:r>
    </w:p>
  </w:comment>
  <w:comment w:id="1" w:author="Practicum Evaluation Committee" w:date="2026-08-30T10:00:00Z" w:initials="PEC">
    <w:p>
      <w:pPr>
        <w:pStyle w:val="CommentText"/>
      </w:pPr>
      <w:r>
        <w:rPr>
          <w:rStyle w:val="CommentReference"/>
        </w:rPr>
        <w:annotationRef/>
      </w:r>
      <w:r>
        <w:rPr>
          <w:rFonts w:ascii="Times New Roman" w:hAnsi="Times New Roman"/>
        </w:rPr>
        <w:t>Figure 3.1 Placement Comment: Insert Figure 3.1 here: UML Class diagram illustrating College, School, Department, Course, Examination, Question, Rubric, StudentSubmission, EvaluationResult, and CourseTabulation. Recommended dimensions: Width: 6.2 in, Height: 4.0 in, Resolution: 300 DPI, Centered. Source: docs/01-requirements/04-requirement-analysis.md (Domain Modeling Diagram).</w:t>
      </w:r>
    </w:p>
  </w:comment>
  <w:comment w:id="2" w:author="Practicum Evaluation Committee" w:date="2026-08-30T10:00:00Z" w:initials="PEC">
    <w:p>
      <w:pPr>
        <w:pStyle w:val="CommentText"/>
      </w:pPr>
      <w:r>
        <w:rPr>
          <w:rStyle w:val="CommentReference"/>
        </w:rPr>
        <w:annotationRef/>
      </w:r>
      <w:r>
        <w:rPr>
          <w:rFonts w:ascii="Times New Roman" w:hAnsi="Times New Roman"/>
        </w:rPr>
        <w:t>Figure 3.2 Placement Comment: Insert Figure 3.2 here: Architectural block diagram showing administrative governance, 23-taxonomy question studio, 300 DPI preprocessing, hybrid OCR, dual evaluation workbenches, and real-time OBE tabulation. Recommended dimensions: Width: 6.5 in, Height: 4.5 in, Resolution: 300 DPI, Centered. Source: docs/MASTER_SYSTEM_REPORT.md (System Executive Blueprint Diagram).</w:t>
      </w:r>
    </w:p>
  </w:comment>
  <w:comment w:id="3" w:author="Practicum Evaluation Committee" w:date="2026-08-30T10:00:00Z" w:initials="PEC">
    <w:p>
      <w:pPr>
        <w:pStyle w:val="CommentText"/>
      </w:pPr>
      <w:r>
        <w:rPr>
          <w:rStyle w:val="CommentReference"/>
        </w:rPr>
        <w:annotationRef/>
      </w:r>
      <w:r>
        <w:rPr>
          <w:rFonts w:ascii="Times New Roman" w:hAnsi="Times New Roman"/>
        </w:rPr>
        <w:t>Figure 3.3 Placement Comment: Insert Figure 3.3 here: Workflow diagram and screenshot showing multi-page routine PDF upload, OCR line parsing, regex extraction, token-set course matching, and bulk exam generation. Recommended dimensions: Width: 6.0 in, Height: 3.5 in, Resolution: 300 DPI, Centered. Source: mainproject/core/templates/core/scan_routine_ai.html &amp; views.py (scan_routine_ai).</w:t>
      </w:r>
    </w:p>
  </w:comment>
  <w:comment w:id="4" w:author="Practicum Evaluation Committee" w:date="2026-08-30T10:00:00Z" w:initials="PEC">
    <w:p>
      <w:pPr>
        <w:pStyle w:val="CommentText"/>
      </w:pPr>
      <w:r>
        <w:rPr>
          <w:rStyle w:val="CommentReference"/>
        </w:rPr>
        <w:annotationRef/>
      </w:r>
      <w:r>
        <w:rPr>
          <w:rFonts w:ascii="Times New Roman" w:hAnsi="Times New Roman"/>
        </w:rPr>
        <w:t>Figure 3.4 Placement Comment: Insert Figure 3.4 here: Image transformation sequence showing raw script capture, PyMuPDF 300 DPI rasterization, OpenCV Hough deskewing, Otsu adaptive thresholding, and coordinate normalization. Recommended dimensions: Width: 6.0 in, Height: 3.2 in, Resolution: 300 DPI, Centered. Source: docs/00-project-management/02-technology-stack.md &amp; core/ai_engine/preprocessing.</w:t>
      </w:r>
    </w:p>
  </w:comment>
  <w:comment w:id="5" w:author="Practicum Evaluation Committee" w:date="2026-08-30T10:00:00Z" w:initials="PEC">
    <w:p>
      <w:pPr>
        <w:pStyle w:val="CommentText"/>
      </w:pPr>
      <w:r>
        <w:rPr>
          <w:rStyle w:val="CommentReference"/>
        </w:rPr>
        <w:annotationRef/>
      </w:r>
      <w:r>
        <w:rPr>
          <w:rFonts w:ascii="Times New Roman" w:hAnsi="Times New Roman"/>
        </w:rPr>
        <w:t>Figure 3.5 Placement Comment: Insert Figure 3.5 here: Flowchart showing decision logic: PyMuPDF font extraction -&gt; PyTesseract printed OCR -&gt; EasyOCR deep learning CRAFT+BiLSTM fallback on PyTorch CPU. Recommended dimensions: Width: 6.0 in, Height: 3.2 in, Resolution: 300 DPI, Centered. Source: docs/00-project-management/02-technology-stack.md (Section 2.3 OCR Flowchart).</w:t>
      </w:r>
    </w:p>
  </w:comment>
  <w:comment w:id="6" w:author="Practicum Evaluation Committee" w:date="2026-08-30T10:00:00Z" w:initials="PEC">
    <w:p>
      <w:pPr>
        <w:pStyle w:val="CommentText"/>
      </w:pPr>
      <w:r>
        <w:rPr>
          <w:rStyle w:val="CommentReference"/>
        </w:rPr>
        <w:annotationRef/>
      </w:r>
      <w:r>
        <w:rPr>
          <w:rFonts w:ascii="Times New Roman" w:hAnsi="Times New Roman"/>
        </w:rPr>
        <w:t>Figure 3.6 Placement Comment: Insert Figure 3.6 here: State machine diagram showing regex header matching ('Answer to Question No. X'), page region slicing, and teacher visual crop confirmation modal. Recommended dimensions: Width: 6.0 in, Height: 3.8 in, Resolution: 300 DPI, Centered. Source: mainproject/core/ai_engine/mapping/question_number_detector.py &amp; visual crop modal.</w:t>
      </w:r>
    </w:p>
  </w:comment>
  <w:comment w:id="7" w:author="Practicum Evaluation Committee" w:date="2026-08-30T10:00:00Z" w:initials="PEC">
    <w:p>
      <w:pPr>
        <w:pStyle w:val="CommentText"/>
      </w:pPr>
      <w:r>
        <w:rPr>
          <w:rStyle w:val="CommentReference"/>
        </w:rPr>
        <w:annotationRef/>
      </w:r>
      <w:r>
        <w:rPr>
          <w:rFonts w:ascii="Times New Roman" w:hAnsi="Times New Roman"/>
        </w:rPr>
        <w:t>Figure 3.7 Placement Comment: Insert Figure 3.7 here: Screenshot walkthrough of AI Wizard v3.0 showing script upload, OCR progress, heading detection review, multi-provider scoring, and summary generation. Recommended dimensions: Width: 6.2 in, Height: 4.0 in, Resolution: 300 DPI, Centered. Source: mainproject/core/templates/core/evaluation_wizard.html.</w:t>
      </w:r>
    </w:p>
  </w:comment>
  <w:comment w:id="8" w:author="Practicum Evaluation Committee" w:date="2026-08-30T10:00:00Z" w:initials="PEC">
    <w:p>
      <w:pPr>
        <w:pStyle w:val="CommentText"/>
      </w:pPr>
      <w:r>
        <w:rPr>
          <w:rStyle w:val="CommentReference"/>
        </w:rPr>
        <w:annotationRef/>
      </w:r>
      <w:r>
        <w:rPr>
          <w:rFonts w:ascii="Times New Roman" w:hAnsi="Times New Roman"/>
        </w:rPr>
        <w:t>Figure 3.8 Placement Comment: Insert Figure 3.8 here: Screenshot of manual wizard showing fast PDF page slicing, checkbox question-to-page matrix assignment, and direct transition to split-screen grading without AI/OCR overhead. Recommended dimensions: Width: 6.0 in, Height: 3.5 in, Resolution: 300 DPI, Centered. Source: mainproject/core/templates/core/manual_evaluation_wizard.html.</w:t>
      </w:r>
    </w:p>
  </w:comment>
  <w:comment w:id="9" w:author="Practicum Evaluation Committee" w:date="2026-08-30T10:00:00Z" w:initials="PEC">
    <w:p>
      <w:pPr>
        <w:pStyle w:val="CommentText"/>
      </w:pPr>
      <w:r>
        <w:rPr>
          <w:rStyle w:val="CommentReference"/>
        </w:rPr>
        <w:annotationRef/>
      </w:r>
      <w:r>
        <w:rPr>
          <w:rFonts w:ascii="Times New Roman" w:hAnsi="Times New Roman"/>
        </w:rPr>
        <w:t>Figure 3.9 Placement Comment: Insert Figure 3.9 here: Resilient failover diagram showing TaskRouter routing between Local Moondream2 (800px LANCZOS), Groq Llama-3.3 70B, OpenRouter, Gemini 2.5 Flash, and OpenAI GPT-4o with 429 rate limit backoff. Recommended dimensions: Width: 6.2 in, Height: 3.8 in, Resolution: 300 DPI, Centered. Source: docs/MASTER_SYSTEM_REPORT.md &amp; core/ai_engine/providers.</w:t>
      </w:r>
    </w:p>
  </w:comment>
  <w:comment w:id="10" w:author="Practicum Evaluation Committee" w:date="2026-08-30T10:00:00Z" w:initials="PEC">
    <w:p>
      <w:pPr>
        <w:pStyle w:val="CommentText"/>
      </w:pPr>
      <w:r>
        <w:rPr>
          <w:rStyle w:val="CommentReference"/>
        </w:rPr>
        <w:annotationRef/>
      </w:r>
      <w:r>
        <w:rPr>
          <w:rFonts w:ascii="Times New Roman" w:hAnsi="Times New Roman"/>
        </w:rPr>
        <w:t>Figure 3.10 Placement Comment: Insert Figure 3.10 here: Full screenshot of split-screen workbench showing high-res script canvas (pan/zoom/rotate) on left, and question prompt, golden rubric, criterion scores, and feedback editor on right. Recommended dimensions: Width: 6.5 in, Height: 4.2 in, Resolution: 300 DPI, Centered. Source: mainproject/core/templates/core/evaluation_workspace.html.</w:t>
      </w:r>
    </w:p>
  </w:comment>
  <w:comment w:id="11" w:author="Practicum Evaluation Committee" w:date="2026-08-30T10:00:00Z" w:initials="PEC">
    <w:p>
      <w:pPr>
        <w:pStyle w:val="CommentText"/>
      </w:pPr>
      <w:r>
        <w:rPr>
          <w:rStyle w:val="CommentReference"/>
        </w:rPr>
        <w:annotationRef/>
      </w:r>
      <w:r>
        <w:rPr>
          <w:rFonts w:ascii="Times New Roman" w:hAnsi="Times New Roman"/>
        </w:rPr>
        <w:t>Figure 3.11 Placement Comment: Insert Figure 3.11 here: Diagram and sample certified PDF showing official IUBAT watermark stamp, question marks summary box, examiner signature line, and automated draft image purge. Recommended dimensions: Width: 6.0 in, Height: 3.5 in, Resolution: 300 DPI, Centered. Source: mainproject/core/services/pdf_generator.py &amp; TeacherReview model.</w:t>
      </w:r>
    </w:p>
  </w:comment>
  <w:comment w:id="12" w:author="Practicum Evaluation Committee" w:date="2026-08-30T10:00:00Z" w:initials="PEC">
    <w:p>
      <w:pPr>
        <w:pStyle w:val="CommentText"/>
      </w:pPr>
      <w:r>
        <w:rPr>
          <w:rStyle w:val="CommentReference"/>
        </w:rPr>
        <w:annotationRef/>
      </w:r>
      <w:r>
        <w:rPr>
          <w:rFonts w:ascii="Times New Roman" w:hAnsi="Times New Roman"/>
        </w:rPr>
        <w:t>Figure 3.12 Placement Comment: Insert Figure 3.12 here: Screenshot of course tabulation view showing CT (10%), Mid (25%), Final (50%), Assign (10%), Att (5%), GPA calculation, and openpyxl 8-sheet Excel export. Recommended dimensions: Width: 6.5 in, Height: 4.2 in, Resolution: 300 DPI, Centered. Source: mainproject/core/templates/core/course_tabulation.html &amp; export_tabulation.py.</w:t>
      </w:r>
    </w:p>
  </w:comment>
  <w:comment w:id="13" w:author="Practicum Evaluation Committee" w:date="2026-08-30T10:00:00Z" w:initials="PEC">
    <w:p>
      <w:pPr>
        <w:pStyle w:val="CommentText"/>
      </w:pPr>
      <w:r>
        <w:rPr>
          <w:rStyle w:val="CommentReference"/>
        </w:rPr>
        <w:annotationRef/>
      </w:r>
      <w:r>
        <w:rPr>
          <w:rFonts w:ascii="Times New Roman" w:hAnsi="Times New Roman"/>
        </w:rPr>
        <w:t>Figure 3.13 Placement Comment: Insert Figure 3.13 here: Side-by-side screenshots showing student self-service grade card with mistake analysis, and department head dashboard with pass rates and faculty grading progress. Recommended dimensions: Width: 6.2 in, Height: 4.0 in, Resolution: 300 DPI, Centered. Source: mainproject/core/templates/core/student_dashboard.html &amp; dept_head_dashboard.html.</w:t>
      </w:r>
    </w:p>
  </w:comment>
  <w:comment w:id="14" w:author="Practicum Evaluation Committee" w:date="2026-08-30T10:00:00Z" w:initials="PEC">
    <w:p>
      <w:pPr>
        <w:pStyle w:val="CommentText"/>
      </w:pPr>
      <w:r>
        <w:rPr>
          <w:rStyle w:val="CommentReference"/>
        </w:rPr>
        <w:annotationRef/>
      </w:r>
      <w:r>
        <w:rPr>
          <w:rFonts w:ascii="Times New Roman" w:hAnsi="Times New Roman"/>
        </w:rPr>
        <w:t>Figure 3.14 Placement Comment: Insert Figure 3.14 here: Architecture sequence diagram showing non-blocking background threading dispatching HTML/text emails for account creation, OTP reset, exam assignment, and grade publication. Recommended dimensions: Width: 6.0 in, Height: 3.2 in, Resolution: 300 DPI, Centered. Source: mainproject/core/services/email_service.py &amp; threading.Thread implementation.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48FB" w:rsidRDefault="00C348FB" w:rsidP="00C3731C">
      <w:pPr>
        <w:spacing w:after="0" w:line="240" w:lineRule="auto"/>
      </w:pPr>
      <w:r>
        <w:separator/>
      </w:r>
    </w:p>
  </w:endnote>
  <w:endnote w:type="continuationSeparator" w:id="1">
    <w:p w:rsidR="00C348FB" w:rsidRDefault="00C348FB" w:rsidP="00C373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0677805"/>
      <w:docPartObj>
        <w:docPartGallery w:val="Page Numbers (Bottom of Page)"/>
        <w:docPartUnique/>
      </w:docPartObj>
    </w:sdtPr>
    <w:sdtEndPr>
      <w:rPr>
        <w:noProof/>
      </w:rPr>
    </w:sdtEndPr>
    <w:sdtContent>
      <w:p w:rsidR="00DB5BA2" w:rsidRDefault="00E84EB4">
        <w:pPr>
          <w:pStyle w:val="Footer"/>
        </w:pPr>
        <w:fldSimple w:instr=" PAGE   \* MERGEFORMAT ">
          <w:r w:rsidR="00DB5BA2">
            <w:rPr>
              <w:noProof/>
            </w:rPr>
            <w:t>iii</w:t>
          </w:r>
        </w:fldSimple>
      </w:p>
    </w:sdtContent>
  </w:sdt>
  <w:p w:rsidR="00DB5BA2" w:rsidRDefault="00DB5BA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55173715"/>
      <w:docPartObj>
        <w:docPartGallery w:val="Page Numbers (Bottom of Page)"/>
        <w:docPartUnique/>
      </w:docPartObj>
    </w:sdtPr>
    <w:sdtEndPr>
      <w:rPr>
        <w:noProof/>
      </w:rPr>
    </w:sdtEndPr>
    <w:sdtContent>
      <w:p w:rsidR="004E6BC8" w:rsidRDefault="00E84EB4">
        <w:pPr>
          <w:pStyle w:val="Footer"/>
        </w:pPr>
        <w:fldSimple w:instr=" PAGE   \* MERGEFORMAT ">
          <w:r w:rsidR="00090047">
            <w:rPr>
              <w:noProof/>
            </w:rPr>
            <w:t>xii</w:t>
          </w:r>
        </w:fldSimple>
      </w:p>
    </w:sdtContent>
  </w:sdt>
  <w:p w:rsidR="004E6BC8" w:rsidRDefault="004E6BC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55173716"/>
      <w:docPartObj>
        <w:docPartGallery w:val="Page Numbers (Bottom of Page)"/>
        <w:docPartUnique/>
      </w:docPartObj>
    </w:sdtPr>
    <w:sdtEndPr>
      <w:rPr>
        <w:noProof/>
        <w:sz w:val="22"/>
        <w:szCs w:val="22"/>
      </w:rPr>
    </w:sdtEndPr>
    <w:sdtContent>
      <w:p w:rsidR="004E6BC8" w:rsidRPr="005408A0" w:rsidRDefault="00E84EB4">
        <w:pPr>
          <w:pStyle w:val="Footer"/>
          <w:rPr>
            <w:sz w:val="22"/>
            <w:szCs w:val="22"/>
          </w:rPr>
        </w:pPr>
        <w:r w:rsidRPr="005408A0">
          <w:rPr>
            <w:sz w:val="22"/>
            <w:szCs w:val="22"/>
          </w:rPr>
          <w:fldChar w:fldCharType="begin"/>
        </w:r>
        <w:r w:rsidR="004E6BC8" w:rsidRPr="005408A0">
          <w:rPr>
            <w:sz w:val="22"/>
            <w:szCs w:val="22"/>
          </w:rPr>
          <w:instrText xml:space="preserve"> PAGE   \* MERGEFORMAT </w:instrText>
        </w:r>
        <w:r w:rsidRPr="005408A0">
          <w:rPr>
            <w:sz w:val="22"/>
            <w:szCs w:val="22"/>
          </w:rPr>
          <w:fldChar w:fldCharType="separate"/>
        </w:r>
        <w:r w:rsidR="00090047">
          <w:rPr>
            <w:noProof/>
            <w:sz w:val="22"/>
            <w:szCs w:val="22"/>
          </w:rPr>
          <w:t>18</w:t>
        </w:r>
        <w:r w:rsidRPr="005408A0">
          <w:rPr>
            <w:noProof/>
            <w:sz w:val="22"/>
            <w:szCs w:val="22"/>
          </w:rPr>
          <w:fldChar w:fldCharType="end"/>
        </w: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BC8" w:rsidRDefault="004E6BC8"/>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48FB" w:rsidRDefault="00C348FB" w:rsidP="00C3731C">
      <w:pPr>
        <w:spacing w:after="0" w:line="240" w:lineRule="auto"/>
      </w:pPr>
      <w:r>
        <w:separator/>
      </w:r>
    </w:p>
  </w:footnote>
  <w:footnote w:type="continuationSeparator" w:id="1">
    <w:p w:rsidR="00C348FB" w:rsidRDefault="00C348FB" w:rsidP="00C373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BC8" w:rsidRPr="00E1349A" w:rsidRDefault="004E6BC8" w:rsidP="0007275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BC8" w:rsidRPr="00E1349A" w:rsidRDefault="004E6BC8" w:rsidP="0007275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BC8" w:rsidRPr="00E1349A" w:rsidRDefault="004E6BC8" w:rsidP="00072757">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BC8" w:rsidRPr="00E1349A" w:rsidRDefault="004E6BC8" w:rsidP="00072757">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BC8" w:rsidRDefault="004E6BC8" w:rsidP="00072757">
    <w:pPr>
      <w:jc w:val="right"/>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BC8" w:rsidRDefault="004E6BC8" w:rsidP="00072757">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1">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D77ACA"/>
    <w:multiLevelType w:val="hybridMultilevel"/>
    <w:tmpl w:val="E466C75E"/>
    <w:lvl w:ilvl="0" w:tplc="EF36AD02">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
  </w:num>
  <w:num w:numId="3">
    <w:abstractNumId w:val="10"/>
  </w:num>
  <w:num w:numId="4">
    <w:abstractNumId w:val="6"/>
  </w:num>
  <w:num w:numId="5">
    <w:abstractNumId w:val="29"/>
  </w:num>
  <w:num w:numId="6">
    <w:abstractNumId w:val="21"/>
  </w:num>
  <w:num w:numId="7">
    <w:abstractNumId w:val="12"/>
  </w:num>
  <w:num w:numId="8">
    <w:abstractNumId w:val="13"/>
  </w:num>
  <w:num w:numId="9">
    <w:abstractNumId w:val="15"/>
  </w:num>
  <w:num w:numId="10">
    <w:abstractNumId w:val="3"/>
  </w:num>
  <w:num w:numId="11">
    <w:abstractNumId w:val="19"/>
  </w:num>
  <w:num w:numId="12">
    <w:abstractNumId w:val="22"/>
  </w:num>
  <w:num w:numId="13">
    <w:abstractNumId w:val="16"/>
  </w:num>
  <w:num w:numId="14">
    <w:abstractNumId w:val="18"/>
  </w:num>
  <w:num w:numId="15">
    <w:abstractNumId w:val="23"/>
  </w:num>
  <w:num w:numId="16">
    <w:abstractNumId w:val="5"/>
  </w:num>
  <w:num w:numId="17">
    <w:abstractNumId w:val="4"/>
  </w:num>
  <w:num w:numId="18">
    <w:abstractNumId w:val="26"/>
  </w:num>
  <w:num w:numId="19">
    <w:abstractNumId w:val="30"/>
  </w:num>
  <w:num w:numId="20">
    <w:abstractNumId w:val="9"/>
  </w:num>
  <w:num w:numId="21">
    <w:abstractNumId w:val="0"/>
  </w:num>
  <w:num w:numId="22">
    <w:abstractNumId w:val="27"/>
  </w:num>
  <w:num w:numId="23">
    <w:abstractNumId w:val="2"/>
  </w:num>
  <w:num w:numId="24">
    <w:abstractNumId w:val="28"/>
  </w:num>
  <w:num w:numId="25">
    <w:abstractNumId w:val="24"/>
  </w:num>
  <w:num w:numId="26">
    <w:abstractNumId w:val="25"/>
  </w:num>
  <w:num w:numId="27">
    <w:abstractNumId w:val="17"/>
  </w:num>
  <w:num w:numId="28">
    <w:abstractNumId w:val="11"/>
  </w:num>
  <w:num w:numId="29">
    <w:abstractNumId w:val="20"/>
  </w:num>
  <w:num w:numId="30">
    <w:abstractNumId w:val="31"/>
  </w:num>
  <w:num w:numId="31">
    <w:abstractNumId w:val="31"/>
    <w:lvlOverride w:ilvl="0">
      <w:startOverride w:val="1"/>
    </w:lvlOverride>
  </w:num>
  <w:num w:numId="32">
    <w:abstractNumId w:val="31"/>
    <w:lvlOverride w:ilvl="0">
      <w:startOverride w:val="1"/>
    </w:lvlOverride>
  </w:num>
  <w:num w:numId="33">
    <w:abstractNumId w:val="31"/>
  </w:num>
  <w:num w:numId="34">
    <w:abstractNumId w:val="31"/>
    <w:lvlOverride w:ilvl="0">
      <w:startOverride w:val="1"/>
    </w:lvlOverride>
  </w:num>
  <w:num w:numId="35">
    <w:abstractNumId w:val="31"/>
    <w:lvlOverride w:ilvl="0">
      <w:startOverride w:val="1"/>
    </w:lvlOverride>
  </w:num>
  <w:num w:numId="36">
    <w:abstractNumId w:val="31"/>
    <w:lvlOverride w:ilvl="0">
      <w:startOverride w:val="1"/>
    </w:lvlOverride>
  </w:num>
  <w:num w:numId="37">
    <w:abstractNumId w:val="31"/>
    <w:lvlOverride w:ilvl="0">
      <w:startOverride w:val="1"/>
    </w:lvlOverride>
  </w:num>
  <w:num w:numId="38">
    <w:abstractNumId w:val="31"/>
    <w:lvlOverride w:ilvl="0">
      <w:startOverride w:val="1"/>
    </w:lvlOverride>
  </w:num>
  <w:num w:numId="39">
    <w:abstractNumId w:val="31"/>
    <w:lvlOverride w:ilvl="0">
      <w:startOverride w:val="1"/>
    </w:lvlOverride>
  </w:num>
  <w:num w:numId="40">
    <w:abstractNumId w:val="31"/>
    <w:lvlOverride w:ilvl="0">
      <w:startOverride w:val="1"/>
    </w:lvlOverride>
  </w:num>
  <w:num w:numId="41">
    <w:abstractNumId w:val="31"/>
    <w:lvlOverride w:ilvl="0">
      <w:startOverride w:val="1"/>
    </w:lvlOverride>
  </w:num>
  <w:num w:numId="42">
    <w:abstractNumId w:val="31"/>
    <w:lvlOverride w:ilvl="0">
      <w:startOverride w:val="1"/>
    </w:lvlOverride>
  </w:num>
  <w:num w:numId="43">
    <w:abstractNumId w:val="31"/>
    <w:lvlOverride w:ilvl="0">
      <w:startOverride w:val="1"/>
    </w:lvlOverride>
  </w:num>
  <w:num w:numId="44">
    <w:abstractNumId w:val="14"/>
  </w:num>
  <w:num w:numId="4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characterSpacingControl w:val="doNotCompress"/>
  <w:hdrShapeDefaults>
    <o:shapedefaults v:ext="edit" spidmax="75778">
      <o:colormenu v:ext="edit" strokecolor="none"/>
    </o:shapedefaults>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sDS2sDAwMja1NDAzsTBS0lEKTi0uzszPAykwrAUA//9VgSwAAAA="/>
  </w:docVars>
  <w:rsids>
    <w:rsidRoot w:val="00422711"/>
    <w:rsid w:val="00002599"/>
    <w:rsid w:val="00004E20"/>
    <w:rsid w:val="00006CE6"/>
    <w:rsid w:val="0001132C"/>
    <w:rsid w:val="00013350"/>
    <w:rsid w:val="00017F51"/>
    <w:rsid w:val="00022698"/>
    <w:rsid w:val="0002451E"/>
    <w:rsid w:val="00052A83"/>
    <w:rsid w:val="00052B60"/>
    <w:rsid w:val="00054059"/>
    <w:rsid w:val="000546FA"/>
    <w:rsid w:val="00062B76"/>
    <w:rsid w:val="00064D86"/>
    <w:rsid w:val="000678FD"/>
    <w:rsid w:val="00070FF9"/>
    <w:rsid w:val="00072757"/>
    <w:rsid w:val="00073EFE"/>
    <w:rsid w:val="000761DE"/>
    <w:rsid w:val="00076634"/>
    <w:rsid w:val="00081A5C"/>
    <w:rsid w:val="00082358"/>
    <w:rsid w:val="000823B4"/>
    <w:rsid w:val="00082F1A"/>
    <w:rsid w:val="000832C5"/>
    <w:rsid w:val="00086330"/>
    <w:rsid w:val="00090047"/>
    <w:rsid w:val="00091305"/>
    <w:rsid w:val="00091AEB"/>
    <w:rsid w:val="00097018"/>
    <w:rsid w:val="000A447C"/>
    <w:rsid w:val="000A561E"/>
    <w:rsid w:val="000B1C8D"/>
    <w:rsid w:val="000B5794"/>
    <w:rsid w:val="000B5B5B"/>
    <w:rsid w:val="000B7E89"/>
    <w:rsid w:val="000C0E32"/>
    <w:rsid w:val="000C1232"/>
    <w:rsid w:val="000C5A95"/>
    <w:rsid w:val="000C711C"/>
    <w:rsid w:val="000D3545"/>
    <w:rsid w:val="000D5A68"/>
    <w:rsid w:val="000E0E8F"/>
    <w:rsid w:val="000E6CBB"/>
    <w:rsid w:val="000E79F1"/>
    <w:rsid w:val="000F2890"/>
    <w:rsid w:val="000F7BC5"/>
    <w:rsid w:val="00103D7D"/>
    <w:rsid w:val="00111534"/>
    <w:rsid w:val="00113413"/>
    <w:rsid w:val="001146C0"/>
    <w:rsid w:val="00114807"/>
    <w:rsid w:val="00116D17"/>
    <w:rsid w:val="00120A5A"/>
    <w:rsid w:val="00122D64"/>
    <w:rsid w:val="00127752"/>
    <w:rsid w:val="00127F4D"/>
    <w:rsid w:val="0013067F"/>
    <w:rsid w:val="00130F3F"/>
    <w:rsid w:val="00133068"/>
    <w:rsid w:val="0013372D"/>
    <w:rsid w:val="00140B2D"/>
    <w:rsid w:val="00141537"/>
    <w:rsid w:val="001437F3"/>
    <w:rsid w:val="0014457D"/>
    <w:rsid w:val="001467F4"/>
    <w:rsid w:val="00146C19"/>
    <w:rsid w:val="00161BE5"/>
    <w:rsid w:val="00166C8A"/>
    <w:rsid w:val="001728B2"/>
    <w:rsid w:val="0017415B"/>
    <w:rsid w:val="001770CF"/>
    <w:rsid w:val="00180CAF"/>
    <w:rsid w:val="00180F9E"/>
    <w:rsid w:val="00181CCE"/>
    <w:rsid w:val="0018324D"/>
    <w:rsid w:val="00190481"/>
    <w:rsid w:val="00191F5B"/>
    <w:rsid w:val="001A1039"/>
    <w:rsid w:val="001A11F9"/>
    <w:rsid w:val="001B124A"/>
    <w:rsid w:val="001B3B25"/>
    <w:rsid w:val="001B3C4A"/>
    <w:rsid w:val="001B67ED"/>
    <w:rsid w:val="001B72C0"/>
    <w:rsid w:val="001C3A1E"/>
    <w:rsid w:val="001C4138"/>
    <w:rsid w:val="001D1DAA"/>
    <w:rsid w:val="001D5FC5"/>
    <w:rsid w:val="001E6422"/>
    <w:rsid w:val="001E7824"/>
    <w:rsid w:val="001F2520"/>
    <w:rsid w:val="001F34A4"/>
    <w:rsid w:val="001F372E"/>
    <w:rsid w:val="001F7541"/>
    <w:rsid w:val="002009F1"/>
    <w:rsid w:val="00205C1F"/>
    <w:rsid w:val="00214D3F"/>
    <w:rsid w:val="00216116"/>
    <w:rsid w:val="00216172"/>
    <w:rsid w:val="00225B2D"/>
    <w:rsid w:val="0022708F"/>
    <w:rsid w:val="002271C5"/>
    <w:rsid w:val="00227537"/>
    <w:rsid w:val="002343D4"/>
    <w:rsid w:val="00235B66"/>
    <w:rsid w:val="002371ED"/>
    <w:rsid w:val="00237AD6"/>
    <w:rsid w:val="00240089"/>
    <w:rsid w:val="002439D3"/>
    <w:rsid w:val="00243FCA"/>
    <w:rsid w:val="00244BF3"/>
    <w:rsid w:val="00244F0E"/>
    <w:rsid w:val="0024622D"/>
    <w:rsid w:val="0024797D"/>
    <w:rsid w:val="002502EE"/>
    <w:rsid w:val="0025487A"/>
    <w:rsid w:val="00254C87"/>
    <w:rsid w:val="0025522D"/>
    <w:rsid w:val="00264723"/>
    <w:rsid w:val="002724D8"/>
    <w:rsid w:val="00281BE5"/>
    <w:rsid w:val="00293A9E"/>
    <w:rsid w:val="002A0EDB"/>
    <w:rsid w:val="002A18EA"/>
    <w:rsid w:val="002A4F48"/>
    <w:rsid w:val="002A7086"/>
    <w:rsid w:val="002B06C4"/>
    <w:rsid w:val="002B1299"/>
    <w:rsid w:val="002B390E"/>
    <w:rsid w:val="002B5533"/>
    <w:rsid w:val="002C0846"/>
    <w:rsid w:val="002C1945"/>
    <w:rsid w:val="002C401C"/>
    <w:rsid w:val="002C453E"/>
    <w:rsid w:val="002C56D2"/>
    <w:rsid w:val="002D0315"/>
    <w:rsid w:val="002D4D7C"/>
    <w:rsid w:val="002E0C0E"/>
    <w:rsid w:val="002E32FF"/>
    <w:rsid w:val="002E533C"/>
    <w:rsid w:val="002E5889"/>
    <w:rsid w:val="002E77D7"/>
    <w:rsid w:val="002F0AA7"/>
    <w:rsid w:val="002F0F9A"/>
    <w:rsid w:val="002F349E"/>
    <w:rsid w:val="00301797"/>
    <w:rsid w:val="003108DA"/>
    <w:rsid w:val="0031101B"/>
    <w:rsid w:val="003158DE"/>
    <w:rsid w:val="0031604E"/>
    <w:rsid w:val="003175B1"/>
    <w:rsid w:val="0032198F"/>
    <w:rsid w:val="00323BB5"/>
    <w:rsid w:val="00324422"/>
    <w:rsid w:val="003247A4"/>
    <w:rsid w:val="00324A36"/>
    <w:rsid w:val="003258F7"/>
    <w:rsid w:val="00325937"/>
    <w:rsid w:val="00325A63"/>
    <w:rsid w:val="00330794"/>
    <w:rsid w:val="00332FB9"/>
    <w:rsid w:val="003470E5"/>
    <w:rsid w:val="003518AB"/>
    <w:rsid w:val="003521BA"/>
    <w:rsid w:val="003524CE"/>
    <w:rsid w:val="0035517E"/>
    <w:rsid w:val="00357BE1"/>
    <w:rsid w:val="00363859"/>
    <w:rsid w:val="00364348"/>
    <w:rsid w:val="003668DE"/>
    <w:rsid w:val="00366A53"/>
    <w:rsid w:val="00375606"/>
    <w:rsid w:val="00377A99"/>
    <w:rsid w:val="003809FB"/>
    <w:rsid w:val="00380F28"/>
    <w:rsid w:val="0038708D"/>
    <w:rsid w:val="003934AE"/>
    <w:rsid w:val="00393CF9"/>
    <w:rsid w:val="003943A0"/>
    <w:rsid w:val="00397211"/>
    <w:rsid w:val="003A3088"/>
    <w:rsid w:val="003A6D70"/>
    <w:rsid w:val="003B0F5B"/>
    <w:rsid w:val="003B1BB9"/>
    <w:rsid w:val="003B4A0A"/>
    <w:rsid w:val="003B53C9"/>
    <w:rsid w:val="003B79DE"/>
    <w:rsid w:val="003C5F22"/>
    <w:rsid w:val="003C793F"/>
    <w:rsid w:val="003D110A"/>
    <w:rsid w:val="003D3BDA"/>
    <w:rsid w:val="003D3E25"/>
    <w:rsid w:val="003D4B9B"/>
    <w:rsid w:val="003D4DA0"/>
    <w:rsid w:val="003D61DE"/>
    <w:rsid w:val="003D766F"/>
    <w:rsid w:val="003E05CF"/>
    <w:rsid w:val="003E38FA"/>
    <w:rsid w:val="003E44ED"/>
    <w:rsid w:val="003F55AB"/>
    <w:rsid w:val="003F6006"/>
    <w:rsid w:val="00400B01"/>
    <w:rsid w:val="004104C4"/>
    <w:rsid w:val="004121D9"/>
    <w:rsid w:val="00412DD1"/>
    <w:rsid w:val="004149E8"/>
    <w:rsid w:val="00417320"/>
    <w:rsid w:val="004204B8"/>
    <w:rsid w:val="00422711"/>
    <w:rsid w:val="00422EF2"/>
    <w:rsid w:val="0043216D"/>
    <w:rsid w:val="004361D0"/>
    <w:rsid w:val="00440C12"/>
    <w:rsid w:val="00441E2B"/>
    <w:rsid w:val="00442059"/>
    <w:rsid w:val="0044223A"/>
    <w:rsid w:val="004465F0"/>
    <w:rsid w:val="00465CD7"/>
    <w:rsid w:val="004712B0"/>
    <w:rsid w:val="0047486A"/>
    <w:rsid w:val="00474910"/>
    <w:rsid w:val="00480ECD"/>
    <w:rsid w:val="004855CD"/>
    <w:rsid w:val="00490A62"/>
    <w:rsid w:val="004958B9"/>
    <w:rsid w:val="004B1614"/>
    <w:rsid w:val="004B6273"/>
    <w:rsid w:val="004B643B"/>
    <w:rsid w:val="004C1E6E"/>
    <w:rsid w:val="004C208A"/>
    <w:rsid w:val="004C57A0"/>
    <w:rsid w:val="004D373C"/>
    <w:rsid w:val="004D6DBB"/>
    <w:rsid w:val="004E1D89"/>
    <w:rsid w:val="004E2B94"/>
    <w:rsid w:val="004E4AC8"/>
    <w:rsid w:val="004E4F4A"/>
    <w:rsid w:val="004E5123"/>
    <w:rsid w:val="004E6A54"/>
    <w:rsid w:val="004E6BC8"/>
    <w:rsid w:val="004F138B"/>
    <w:rsid w:val="004F21FF"/>
    <w:rsid w:val="004F5A0F"/>
    <w:rsid w:val="004F7725"/>
    <w:rsid w:val="00501E5E"/>
    <w:rsid w:val="005022EB"/>
    <w:rsid w:val="0050390D"/>
    <w:rsid w:val="00503A1D"/>
    <w:rsid w:val="00505FC0"/>
    <w:rsid w:val="005061BA"/>
    <w:rsid w:val="00507F93"/>
    <w:rsid w:val="00510681"/>
    <w:rsid w:val="005150C4"/>
    <w:rsid w:val="00517804"/>
    <w:rsid w:val="00522310"/>
    <w:rsid w:val="005238AD"/>
    <w:rsid w:val="00524B5A"/>
    <w:rsid w:val="005274B2"/>
    <w:rsid w:val="00530AB8"/>
    <w:rsid w:val="00532075"/>
    <w:rsid w:val="00532163"/>
    <w:rsid w:val="005367C5"/>
    <w:rsid w:val="005408A0"/>
    <w:rsid w:val="00542244"/>
    <w:rsid w:val="00543CF3"/>
    <w:rsid w:val="005459BA"/>
    <w:rsid w:val="0054605C"/>
    <w:rsid w:val="00550CE0"/>
    <w:rsid w:val="00555AC5"/>
    <w:rsid w:val="00561433"/>
    <w:rsid w:val="00563C05"/>
    <w:rsid w:val="00567A85"/>
    <w:rsid w:val="00567AEA"/>
    <w:rsid w:val="00574FBE"/>
    <w:rsid w:val="00576205"/>
    <w:rsid w:val="00576314"/>
    <w:rsid w:val="00577DDC"/>
    <w:rsid w:val="00577E0E"/>
    <w:rsid w:val="0058193F"/>
    <w:rsid w:val="00581AF9"/>
    <w:rsid w:val="00581C44"/>
    <w:rsid w:val="00584B85"/>
    <w:rsid w:val="00592148"/>
    <w:rsid w:val="0059361D"/>
    <w:rsid w:val="005A4857"/>
    <w:rsid w:val="005A7B44"/>
    <w:rsid w:val="005B072F"/>
    <w:rsid w:val="005B77B5"/>
    <w:rsid w:val="005C4DD2"/>
    <w:rsid w:val="005C774C"/>
    <w:rsid w:val="005D269A"/>
    <w:rsid w:val="005D3922"/>
    <w:rsid w:val="005D528E"/>
    <w:rsid w:val="005D5D78"/>
    <w:rsid w:val="005D5FBF"/>
    <w:rsid w:val="005E5AAA"/>
    <w:rsid w:val="005E5C4C"/>
    <w:rsid w:val="005E62DF"/>
    <w:rsid w:val="005E7FA7"/>
    <w:rsid w:val="005F484D"/>
    <w:rsid w:val="00602A8B"/>
    <w:rsid w:val="00602CFC"/>
    <w:rsid w:val="00603CB8"/>
    <w:rsid w:val="00605AB3"/>
    <w:rsid w:val="00612721"/>
    <w:rsid w:val="006166F1"/>
    <w:rsid w:val="00616A40"/>
    <w:rsid w:val="00617EAD"/>
    <w:rsid w:val="00620AB0"/>
    <w:rsid w:val="00621B2A"/>
    <w:rsid w:val="00633DFC"/>
    <w:rsid w:val="00634231"/>
    <w:rsid w:val="0063440A"/>
    <w:rsid w:val="006428DA"/>
    <w:rsid w:val="00647618"/>
    <w:rsid w:val="0065798D"/>
    <w:rsid w:val="00660C51"/>
    <w:rsid w:val="00660FED"/>
    <w:rsid w:val="00661FA6"/>
    <w:rsid w:val="0066216A"/>
    <w:rsid w:val="00663D22"/>
    <w:rsid w:val="00666257"/>
    <w:rsid w:val="00683C61"/>
    <w:rsid w:val="00685BB0"/>
    <w:rsid w:val="006866AF"/>
    <w:rsid w:val="00687F3C"/>
    <w:rsid w:val="006912F0"/>
    <w:rsid w:val="0069431A"/>
    <w:rsid w:val="00695CB0"/>
    <w:rsid w:val="00696CF0"/>
    <w:rsid w:val="006970FB"/>
    <w:rsid w:val="006A21C9"/>
    <w:rsid w:val="006B06B2"/>
    <w:rsid w:val="006C0532"/>
    <w:rsid w:val="006C1D0C"/>
    <w:rsid w:val="006C3F68"/>
    <w:rsid w:val="006C6F56"/>
    <w:rsid w:val="006D53E0"/>
    <w:rsid w:val="006E15B6"/>
    <w:rsid w:val="006E594A"/>
    <w:rsid w:val="006E5E57"/>
    <w:rsid w:val="006E6882"/>
    <w:rsid w:val="006E6AEF"/>
    <w:rsid w:val="006F095A"/>
    <w:rsid w:val="006F50B0"/>
    <w:rsid w:val="00700654"/>
    <w:rsid w:val="00700F95"/>
    <w:rsid w:val="00703AB8"/>
    <w:rsid w:val="0071118B"/>
    <w:rsid w:val="007125D3"/>
    <w:rsid w:val="0071417A"/>
    <w:rsid w:val="00720AB1"/>
    <w:rsid w:val="00721987"/>
    <w:rsid w:val="00721BB6"/>
    <w:rsid w:val="00724212"/>
    <w:rsid w:val="0073591D"/>
    <w:rsid w:val="00735F2C"/>
    <w:rsid w:val="00741098"/>
    <w:rsid w:val="00741827"/>
    <w:rsid w:val="00741BE3"/>
    <w:rsid w:val="00743769"/>
    <w:rsid w:val="00754285"/>
    <w:rsid w:val="00755027"/>
    <w:rsid w:val="00755B79"/>
    <w:rsid w:val="0076033E"/>
    <w:rsid w:val="00761984"/>
    <w:rsid w:val="007621C6"/>
    <w:rsid w:val="007728C8"/>
    <w:rsid w:val="00774C5D"/>
    <w:rsid w:val="00775D09"/>
    <w:rsid w:val="007766F7"/>
    <w:rsid w:val="0078138A"/>
    <w:rsid w:val="00781743"/>
    <w:rsid w:val="00785084"/>
    <w:rsid w:val="007936A6"/>
    <w:rsid w:val="00793D74"/>
    <w:rsid w:val="007942AB"/>
    <w:rsid w:val="007A2F20"/>
    <w:rsid w:val="007A42D1"/>
    <w:rsid w:val="007B083A"/>
    <w:rsid w:val="007B26C3"/>
    <w:rsid w:val="007B362D"/>
    <w:rsid w:val="007B47A1"/>
    <w:rsid w:val="007B63E3"/>
    <w:rsid w:val="007B7943"/>
    <w:rsid w:val="007C3F9F"/>
    <w:rsid w:val="007C5E5B"/>
    <w:rsid w:val="007C6C0C"/>
    <w:rsid w:val="007C7C71"/>
    <w:rsid w:val="007D0771"/>
    <w:rsid w:val="007D07A0"/>
    <w:rsid w:val="007D41B6"/>
    <w:rsid w:val="007D6DD1"/>
    <w:rsid w:val="007D73B8"/>
    <w:rsid w:val="007E1112"/>
    <w:rsid w:val="007E49D6"/>
    <w:rsid w:val="007E5882"/>
    <w:rsid w:val="007E6168"/>
    <w:rsid w:val="007F192D"/>
    <w:rsid w:val="007F1D88"/>
    <w:rsid w:val="007F5803"/>
    <w:rsid w:val="007F758C"/>
    <w:rsid w:val="00801BFA"/>
    <w:rsid w:val="00810767"/>
    <w:rsid w:val="00814864"/>
    <w:rsid w:val="00815A65"/>
    <w:rsid w:val="008165A9"/>
    <w:rsid w:val="00817796"/>
    <w:rsid w:val="0082671A"/>
    <w:rsid w:val="00827964"/>
    <w:rsid w:val="00830813"/>
    <w:rsid w:val="0083147F"/>
    <w:rsid w:val="0083332B"/>
    <w:rsid w:val="00833CC1"/>
    <w:rsid w:val="008347C2"/>
    <w:rsid w:val="00837933"/>
    <w:rsid w:val="00845045"/>
    <w:rsid w:val="00850621"/>
    <w:rsid w:val="0085093B"/>
    <w:rsid w:val="00851D8D"/>
    <w:rsid w:val="0086567A"/>
    <w:rsid w:val="008669EC"/>
    <w:rsid w:val="008700F7"/>
    <w:rsid w:val="00874C6F"/>
    <w:rsid w:val="00875B7B"/>
    <w:rsid w:val="00877A1B"/>
    <w:rsid w:val="008819F3"/>
    <w:rsid w:val="008830DF"/>
    <w:rsid w:val="008851A7"/>
    <w:rsid w:val="008875A2"/>
    <w:rsid w:val="008916F4"/>
    <w:rsid w:val="008945D9"/>
    <w:rsid w:val="0089590D"/>
    <w:rsid w:val="008A1485"/>
    <w:rsid w:val="008A261B"/>
    <w:rsid w:val="008A4385"/>
    <w:rsid w:val="008A5674"/>
    <w:rsid w:val="008B510D"/>
    <w:rsid w:val="008C2D43"/>
    <w:rsid w:val="008C6D56"/>
    <w:rsid w:val="008D0303"/>
    <w:rsid w:val="008D271D"/>
    <w:rsid w:val="008E30F3"/>
    <w:rsid w:val="008E4667"/>
    <w:rsid w:val="008E6E7D"/>
    <w:rsid w:val="008F5651"/>
    <w:rsid w:val="00903653"/>
    <w:rsid w:val="00906F2E"/>
    <w:rsid w:val="0090717D"/>
    <w:rsid w:val="00915B87"/>
    <w:rsid w:val="00916756"/>
    <w:rsid w:val="0092382F"/>
    <w:rsid w:val="00924BA0"/>
    <w:rsid w:val="009264A8"/>
    <w:rsid w:val="00927C9E"/>
    <w:rsid w:val="00927FB9"/>
    <w:rsid w:val="00930464"/>
    <w:rsid w:val="0093087A"/>
    <w:rsid w:val="0093102E"/>
    <w:rsid w:val="00934F6E"/>
    <w:rsid w:val="00935F49"/>
    <w:rsid w:val="00942713"/>
    <w:rsid w:val="00945195"/>
    <w:rsid w:val="0094733A"/>
    <w:rsid w:val="00951508"/>
    <w:rsid w:val="009525E3"/>
    <w:rsid w:val="00954D9A"/>
    <w:rsid w:val="0096221C"/>
    <w:rsid w:val="00962320"/>
    <w:rsid w:val="009711F3"/>
    <w:rsid w:val="00975327"/>
    <w:rsid w:val="00975347"/>
    <w:rsid w:val="009758C4"/>
    <w:rsid w:val="009774D7"/>
    <w:rsid w:val="00980DB5"/>
    <w:rsid w:val="00981674"/>
    <w:rsid w:val="00987CB7"/>
    <w:rsid w:val="00993E57"/>
    <w:rsid w:val="00994F3A"/>
    <w:rsid w:val="00996A6E"/>
    <w:rsid w:val="009A33D9"/>
    <w:rsid w:val="009A4D02"/>
    <w:rsid w:val="009A6DEA"/>
    <w:rsid w:val="009B63B6"/>
    <w:rsid w:val="009C19EA"/>
    <w:rsid w:val="009C1BFD"/>
    <w:rsid w:val="009C2EE8"/>
    <w:rsid w:val="009C44BB"/>
    <w:rsid w:val="009C639A"/>
    <w:rsid w:val="009E01CC"/>
    <w:rsid w:val="009E3BBB"/>
    <w:rsid w:val="009E7A7C"/>
    <w:rsid w:val="009F001B"/>
    <w:rsid w:val="009F3488"/>
    <w:rsid w:val="009F3967"/>
    <w:rsid w:val="009F5BC4"/>
    <w:rsid w:val="00A00A3A"/>
    <w:rsid w:val="00A07358"/>
    <w:rsid w:val="00A151B0"/>
    <w:rsid w:val="00A16C73"/>
    <w:rsid w:val="00A21769"/>
    <w:rsid w:val="00A225F2"/>
    <w:rsid w:val="00A22650"/>
    <w:rsid w:val="00A25D34"/>
    <w:rsid w:val="00A2793C"/>
    <w:rsid w:val="00A34864"/>
    <w:rsid w:val="00A36433"/>
    <w:rsid w:val="00A4155F"/>
    <w:rsid w:val="00A43125"/>
    <w:rsid w:val="00A437A6"/>
    <w:rsid w:val="00A54584"/>
    <w:rsid w:val="00A57C1E"/>
    <w:rsid w:val="00A7129F"/>
    <w:rsid w:val="00A73542"/>
    <w:rsid w:val="00A76460"/>
    <w:rsid w:val="00A80E5D"/>
    <w:rsid w:val="00A84473"/>
    <w:rsid w:val="00A84772"/>
    <w:rsid w:val="00A904AB"/>
    <w:rsid w:val="00A90A6D"/>
    <w:rsid w:val="00AA0276"/>
    <w:rsid w:val="00AA1B31"/>
    <w:rsid w:val="00AA65E4"/>
    <w:rsid w:val="00AA664F"/>
    <w:rsid w:val="00AA6DFC"/>
    <w:rsid w:val="00AA7421"/>
    <w:rsid w:val="00AA746E"/>
    <w:rsid w:val="00AA75BD"/>
    <w:rsid w:val="00AA765E"/>
    <w:rsid w:val="00AB3FB3"/>
    <w:rsid w:val="00AB4ADE"/>
    <w:rsid w:val="00AB6E5F"/>
    <w:rsid w:val="00AB7388"/>
    <w:rsid w:val="00AC6412"/>
    <w:rsid w:val="00AD0D20"/>
    <w:rsid w:val="00AD1969"/>
    <w:rsid w:val="00AD6DD9"/>
    <w:rsid w:val="00AE1684"/>
    <w:rsid w:val="00AE2876"/>
    <w:rsid w:val="00AE41BA"/>
    <w:rsid w:val="00AE50C8"/>
    <w:rsid w:val="00AE5AD8"/>
    <w:rsid w:val="00AE60B7"/>
    <w:rsid w:val="00AE6DB8"/>
    <w:rsid w:val="00AF2220"/>
    <w:rsid w:val="00AF7728"/>
    <w:rsid w:val="00B02827"/>
    <w:rsid w:val="00B02BDD"/>
    <w:rsid w:val="00B0376C"/>
    <w:rsid w:val="00B040E8"/>
    <w:rsid w:val="00B05276"/>
    <w:rsid w:val="00B07775"/>
    <w:rsid w:val="00B07988"/>
    <w:rsid w:val="00B110CB"/>
    <w:rsid w:val="00B1304C"/>
    <w:rsid w:val="00B264AC"/>
    <w:rsid w:val="00B2691C"/>
    <w:rsid w:val="00B27F5C"/>
    <w:rsid w:val="00B32DC1"/>
    <w:rsid w:val="00B337A4"/>
    <w:rsid w:val="00B35CAC"/>
    <w:rsid w:val="00B43E5C"/>
    <w:rsid w:val="00B50968"/>
    <w:rsid w:val="00B53A65"/>
    <w:rsid w:val="00B56462"/>
    <w:rsid w:val="00B57D45"/>
    <w:rsid w:val="00B65BBF"/>
    <w:rsid w:val="00B67505"/>
    <w:rsid w:val="00B70DE1"/>
    <w:rsid w:val="00B7191C"/>
    <w:rsid w:val="00B754BE"/>
    <w:rsid w:val="00B75ED4"/>
    <w:rsid w:val="00B76867"/>
    <w:rsid w:val="00B77A69"/>
    <w:rsid w:val="00B807A5"/>
    <w:rsid w:val="00B8297D"/>
    <w:rsid w:val="00B85CEF"/>
    <w:rsid w:val="00B92D41"/>
    <w:rsid w:val="00B96F93"/>
    <w:rsid w:val="00BA22A6"/>
    <w:rsid w:val="00BB38C1"/>
    <w:rsid w:val="00BB3D32"/>
    <w:rsid w:val="00BC15B4"/>
    <w:rsid w:val="00BC2385"/>
    <w:rsid w:val="00BD0666"/>
    <w:rsid w:val="00BD066B"/>
    <w:rsid w:val="00BD423E"/>
    <w:rsid w:val="00BD479E"/>
    <w:rsid w:val="00BE111F"/>
    <w:rsid w:val="00BE1F23"/>
    <w:rsid w:val="00BE366F"/>
    <w:rsid w:val="00BE5443"/>
    <w:rsid w:val="00BF0BAA"/>
    <w:rsid w:val="00BF6506"/>
    <w:rsid w:val="00C03CC7"/>
    <w:rsid w:val="00C065BF"/>
    <w:rsid w:val="00C147B5"/>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538BD"/>
    <w:rsid w:val="00C54D13"/>
    <w:rsid w:val="00C56264"/>
    <w:rsid w:val="00C61186"/>
    <w:rsid w:val="00C64BFF"/>
    <w:rsid w:val="00C8717C"/>
    <w:rsid w:val="00C9225D"/>
    <w:rsid w:val="00C92D79"/>
    <w:rsid w:val="00C9305D"/>
    <w:rsid w:val="00CA2FF2"/>
    <w:rsid w:val="00CB1963"/>
    <w:rsid w:val="00CB3083"/>
    <w:rsid w:val="00CB4DF1"/>
    <w:rsid w:val="00CB5D15"/>
    <w:rsid w:val="00CC168B"/>
    <w:rsid w:val="00CC2D45"/>
    <w:rsid w:val="00CC386F"/>
    <w:rsid w:val="00CE2F12"/>
    <w:rsid w:val="00CF2501"/>
    <w:rsid w:val="00CF35EB"/>
    <w:rsid w:val="00CF41AE"/>
    <w:rsid w:val="00CF46A1"/>
    <w:rsid w:val="00CF5094"/>
    <w:rsid w:val="00CF689E"/>
    <w:rsid w:val="00CF733D"/>
    <w:rsid w:val="00D02BD7"/>
    <w:rsid w:val="00D11B37"/>
    <w:rsid w:val="00D139F1"/>
    <w:rsid w:val="00D14922"/>
    <w:rsid w:val="00D15C26"/>
    <w:rsid w:val="00D16250"/>
    <w:rsid w:val="00D2213B"/>
    <w:rsid w:val="00D26C4C"/>
    <w:rsid w:val="00D279E2"/>
    <w:rsid w:val="00D31632"/>
    <w:rsid w:val="00D31C0D"/>
    <w:rsid w:val="00D43933"/>
    <w:rsid w:val="00D43FFF"/>
    <w:rsid w:val="00D45C89"/>
    <w:rsid w:val="00D46840"/>
    <w:rsid w:val="00D479D3"/>
    <w:rsid w:val="00D5256C"/>
    <w:rsid w:val="00D545BD"/>
    <w:rsid w:val="00D573F4"/>
    <w:rsid w:val="00D61B3A"/>
    <w:rsid w:val="00D63D77"/>
    <w:rsid w:val="00D64EAB"/>
    <w:rsid w:val="00D67B33"/>
    <w:rsid w:val="00D77F98"/>
    <w:rsid w:val="00D8175C"/>
    <w:rsid w:val="00D85DC6"/>
    <w:rsid w:val="00D90173"/>
    <w:rsid w:val="00D90A5D"/>
    <w:rsid w:val="00D93073"/>
    <w:rsid w:val="00D9508F"/>
    <w:rsid w:val="00D95274"/>
    <w:rsid w:val="00D97E1D"/>
    <w:rsid w:val="00DA0205"/>
    <w:rsid w:val="00DA187D"/>
    <w:rsid w:val="00DB1539"/>
    <w:rsid w:val="00DB5BA2"/>
    <w:rsid w:val="00DB5D95"/>
    <w:rsid w:val="00DB5F10"/>
    <w:rsid w:val="00DB681C"/>
    <w:rsid w:val="00DB7A91"/>
    <w:rsid w:val="00DC026B"/>
    <w:rsid w:val="00DC30B6"/>
    <w:rsid w:val="00DC6D95"/>
    <w:rsid w:val="00DD035F"/>
    <w:rsid w:val="00DD1A6E"/>
    <w:rsid w:val="00DD4280"/>
    <w:rsid w:val="00DD45BB"/>
    <w:rsid w:val="00DD5B0E"/>
    <w:rsid w:val="00DE15BC"/>
    <w:rsid w:val="00DE41FC"/>
    <w:rsid w:val="00DE7614"/>
    <w:rsid w:val="00DF3754"/>
    <w:rsid w:val="00DF4EE6"/>
    <w:rsid w:val="00DF6C9C"/>
    <w:rsid w:val="00E02348"/>
    <w:rsid w:val="00E026D2"/>
    <w:rsid w:val="00E056D8"/>
    <w:rsid w:val="00E06084"/>
    <w:rsid w:val="00E06887"/>
    <w:rsid w:val="00E15E4D"/>
    <w:rsid w:val="00E2020C"/>
    <w:rsid w:val="00E20E85"/>
    <w:rsid w:val="00E22AE9"/>
    <w:rsid w:val="00E31EC5"/>
    <w:rsid w:val="00E373BE"/>
    <w:rsid w:val="00E417DF"/>
    <w:rsid w:val="00E46303"/>
    <w:rsid w:val="00E4649C"/>
    <w:rsid w:val="00E465E0"/>
    <w:rsid w:val="00E50795"/>
    <w:rsid w:val="00E50BFD"/>
    <w:rsid w:val="00E51C42"/>
    <w:rsid w:val="00E6187D"/>
    <w:rsid w:val="00E6195A"/>
    <w:rsid w:val="00E61E65"/>
    <w:rsid w:val="00E64C6E"/>
    <w:rsid w:val="00E650E1"/>
    <w:rsid w:val="00E65EC8"/>
    <w:rsid w:val="00E70766"/>
    <w:rsid w:val="00E70BA6"/>
    <w:rsid w:val="00E721AB"/>
    <w:rsid w:val="00E72A95"/>
    <w:rsid w:val="00E7414B"/>
    <w:rsid w:val="00E74B1B"/>
    <w:rsid w:val="00E76671"/>
    <w:rsid w:val="00E778E4"/>
    <w:rsid w:val="00E81288"/>
    <w:rsid w:val="00E826E3"/>
    <w:rsid w:val="00E84A69"/>
    <w:rsid w:val="00E84EB4"/>
    <w:rsid w:val="00E914FC"/>
    <w:rsid w:val="00E9460B"/>
    <w:rsid w:val="00E94B6A"/>
    <w:rsid w:val="00E955A3"/>
    <w:rsid w:val="00E9786E"/>
    <w:rsid w:val="00E979FB"/>
    <w:rsid w:val="00EB31B3"/>
    <w:rsid w:val="00EB5D46"/>
    <w:rsid w:val="00ED6ECC"/>
    <w:rsid w:val="00ED7081"/>
    <w:rsid w:val="00ED7696"/>
    <w:rsid w:val="00EE0187"/>
    <w:rsid w:val="00EE0402"/>
    <w:rsid w:val="00EE0DD9"/>
    <w:rsid w:val="00EE0E97"/>
    <w:rsid w:val="00EE419B"/>
    <w:rsid w:val="00EE6E53"/>
    <w:rsid w:val="00F00237"/>
    <w:rsid w:val="00F01FD9"/>
    <w:rsid w:val="00F03BCE"/>
    <w:rsid w:val="00F046EE"/>
    <w:rsid w:val="00F06053"/>
    <w:rsid w:val="00F1357E"/>
    <w:rsid w:val="00F2036F"/>
    <w:rsid w:val="00F20C2E"/>
    <w:rsid w:val="00F259D5"/>
    <w:rsid w:val="00F25F3D"/>
    <w:rsid w:val="00F31239"/>
    <w:rsid w:val="00F342EE"/>
    <w:rsid w:val="00F400DE"/>
    <w:rsid w:val="00F41C5F"/>
    <w:rsid w:val="00F421F8"/>
    <w:rsid w:val="00F4318F"/>
    <w:rsid w:val="00F45A41"/>
    <w:rsid w:val="00F541D1"/>
    <w:rsid w:val="00F607F7"/>
    <w:rsid w:val="00F63F54"/>
    <w:rsid w:val="00F64E67"/>
    <w:rsid w:val="00F679D3"/>
    <w:rsid w:val="00F72D84"/>
    <w:rsid w:val="00F758E4"/>
    <w:rsid w:val="00F863AB"/>
    <w:rsid w:val="00F94582"/>
    <w:rsid w:val="00F95132"/>
    <w:rsid w:val="00FA0BD8"/>
    <w:rsid w:val="00FA4807"/>
    <w:rsid w:val="00FA4ADC"/>
    <w:rsid w:val="00FA586F"/>
    <w:rsid w:val="00FA705F"/>
    <w:rsid w:val="00FB306D"/>
    <w:rsid w:val="00FC194C"/>
    <w:rsid w:val="00FC38EF"/>
    <w:rsid w:val="00FD127A"/>
    <w:rsid w:val="00FD249D"/>
    <w:rsid w:val="00FD41A2"/>
    <w:rsid w:val="00FD4E76"/>
    <w:rsid w:val="00FD71AC"/>
    <w:rsid w:val="00FE07A3"/>
    <w:rsid w:val="00FE18B1"/>
    <w:rsid w:val="00FE25C4"/>
    <w:rsid w:val="00FE612C"/>
    <w:rsid w:val="00FE7C43"/>
    <w:rsid w:val="00FF3F9D"/>
    <w:rsid w:val="00FF4406"/>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5778">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1" w:qFormat="1"/>
    <w:lsdException w:name="heading 3" w:uiPriority="2"/>
    <w:lsdException w:name="heading 4" w:uiPriority="3" w:qFormat="1"/>
    <w:lsdException w:name="heading 5" w:uiPriority="4"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24"/>
    <w:lsdException w:name="caption" w:uiPriority="35" w:qFormat="1"/>
    <w:lsdException w:name="Title" w:semiHidden="0" w:uiPriority="10" w:unhideWhenUsed="0" w:qFormat="1"/>
    <w:lsdException w:name="Default Paragraph Font" w:uiPriority="1"/>
    <w:lsdException w:name="Body Text" w:uiPriority="7"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D0D20"/>
    <w:pPr>
      <w:keepNext/>
      <w:spacing w:before="360" w:after="120"/>
      <w:outlineLvl w:val="3"/>
    </w:pPr>
    <w:rPr>
      <w:rFonts w:ascii="Times New Roman" w:hAnsi="Times New Roman" w:cs="Times New Roman"/>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D0D20"/>
    <w:rPr>
      <w:rFonts w:ascii="Times New Roman" w:hAnsi="Times New Roman" w:cs="Times New Roman"/>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numPr>
        <w:numId w:val="33"/>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2"/>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s>
</file>

<file path=word/webSettings.xml><?xml version="1.0" encoding="utf-8"?>
<w:webSettings xmlns:r="http://schemas.openxmlformats.org/officeDocument/2006/relationships" xmlns:w="http://schemas.openxmlformats.org/wordprocessingml/2006/main">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theme" Target="theme/theme1.xml"/><Relationship Id="rIdCommentFigures"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954AF"/>
    <w:rsid w:val="0000126D"/>
    <w:rsid w:val="00014C3C"/>
    <w:rsid w:val="00040101"/>
    <w:rsid w:val="000C6A8D"/>
    <w:rsid w:val="001159D0"/>
    <w:rsid w:val="00183530"/>
    <w:rsid w:val="001858E5"/>
    <w:rsid w:val="002167B8"/>
    <w:rsid w:val="0022472B"/>
    <w:rsid w:val="00224C67"/>
    <w:rsid w:val="002842E9"/>
    <w:rsid w:val="002C35D2"/>
    <w:rsid w:val="002D7083"/>
    <w:rsid w:val="003427A4"/>
    <w:rsid w:val="00364663"/>
    <w:rsid w:val="003E061E"/>
    <w:rsid w:val="003F231E"/>
    <w:rsid w:val="00480CFA"/>
    <w:rsid w:val="004F24C8"/>
    <w:rsid w:val="00525B29"/>
    <w:rsid w:val="00546A21"/>
    <w:rsid w:val="005721DA"/>
    <w:rsid w:val="005E038E"/>
    <w:rsid w:val="00663D2D"/>
    <w:rsid w:val="00671AE7"/>
    <w:rsid w:val="0069516E"/>
    <w:rsid w:val="006C0BAC"/>
    <w:rsid w:val="007748FD"/>
    <w:rsid w:val="007B0394"/>
    <w:rsid w:val="007C2431"/>
    <w:rsid w:val="007D509A"/>
    <w:rsid w:val="007E1FAE"/>
    <w:rsid w:val="0080022E"/>
    <w:rsid w:val="00824856"/>
    <w:rsid w:val="008954AF"/>
    <w:rsid w:val="008A7718"/>
    <w:rsid w:val="008C2288"/>
    <w:rsid w:val="008C500C"/>
    <w:rsid w:val="0090535C"/>
    <w:rsid w:val="00910CFF"/>
    <w:rsid w:val="00953DA8"/>
    <w:rsid w:val="00955AF0"/>
    <w:rsid w:val="00A314BB"/>
    <w:rsid w:val="00A45BD6"/>
    <w:rsid w:val="00A47126"/>
    <w:rsid w:val="00A47169"/>
    <w:rsid w:val="00A70F32"/>
    <w:rsid w:val="00A86EEA"/>
    <w:rsid w:val="00AD5EC5"/>
    <w:rsid w:val="00AF4F54"/>
    <w:rsid w:val="00AF53F9"/>
    <w:rsid w:val="00B468BC"/>
    <w:rsid w:val="00B56817"/>
    <w:rsid w:val="00B95491"/>
    <w:rsid w:val="00BD4F9A"/>
    <w:rsid w:val="00C0076C"/>
    <w:rsid w:val="00C06660"/>
    <w:rsid w:val="00C13DA7"/>
    <w:rsid w:val="00C43A98"/>
    <w:rsid w:val="00CA49D2"/>
    <w:rsid w:val="00CA51E0"/>
    <w:rsid w:val="00CD17C1"/>
    <w:rsid w:val="00CE5339"/>
    <w:rsid w:val="00D03E3D"/>
    <w:rsid w:val="00D07A03"/>
    <w:rsid w:val="00D3340E"/>
    <w:rsid w:val="00D407A2"/>
    <w:rsid w:val="00D42116"/>
    <w:rsid w:val="00D63EAA"/>
    <w:rsid w:val="00D90032"/>
    <w:rsid w:val="00D966BA"/>
    <w:rsid w:val="00DF7ACE"/>
    <w:rsid w:val="00E16E5A"/>
    <w:rsid w:val="00EA1A3E"/>
    <w:rsid w:val="00EA6224"/>
    <w:rsid w:val="00F10153"/>
    <w:rsid w:val="00F1554D"/>
    <w:rsid w:val="00F62D87"/>
    <w:rsid w:val="00F76BEA"/>
    <w:rsid w:val="00F811E0"/>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A77679C77BAD410284FDA9DD550CA6DD">
    <w:name w:val="A77679C77BAD410284FDA9DD550CA6DD"/>
    <w:rsid w:val="008954AF"/>
  </w:style>
  <w:style w:type="paragraph" w:customStyle="1" w:styleId="1B60968F4AE2458FB0ED5519BA06AD6C">
    <w:name w:val="1B60968F4AE2458FB0ED5519BA06AD6C"/>
    <w:rsid w:val="008954AF"/>
  </w:style>
  <w:style w:type="paragraph" w:customStyle="1" w:styleId="67DF9F152ABC40F7A8B1FFBDE4C8BE71">
    <w:name w:val="67DF9F152ABC40F7A8B1FFBDE4C8BE71"/>
    <w:rsid w:val="008954AF"/>
  </w:style>
  <w:style w:type="paragraph" w:customStyle="1" w:styleId="340549D4118C4C089EEE6FAD7F277A41">
    <w:name w:val="340549D4118C4C089EEE6FAD7F277A41"/>
    <w:rsid w:val="008954AF"/>
  </w:style>
  <w:style w:type="paragraph" w:customStyle="1" w:styleId="5EAEC662BE714F00846125072C451996">
    <w:name w:val="5EAEC662BE714F00846125072C451996"/>
    <w:rsid w:val="001858E5"/>
  </w:style>
  <w:style w:type="paragraph" w:customStyle="1" w:styleId="08A7BF3553BA49D4B9D3FFCA8308428F">
    <w:name w:val="08A7BF3553BA49D4B9D3FFCA8308428F"/>
    <w:rsid w:val="00BD4F9A"/>
    <w:pPr>
      <w:spacing w:after="160" w:line="259" w:lineRule="auto"/>
    </w:pPr>
  </w:style>
  <w:style w:type="paragraph" w:customStyle="1" w:styleId="94CD7DCE83904C50ADA612A1BB469284">
    <w:name w:val="94CD7DCE83904C50ADA612A1BB469284"/>
    <w:rsid w:val="00BD4F9A"/>
    <w:pPr>
      <w:spacing w:after="160" w:line="259" w:lineRule="auto"/>
    </w:pPr>
  </w:style>
  <w:style w:type="paragraph" w:customStyle="1" w:styleId="9FBF9C1495514474A0212F1D5F79613F">
    <w:name w:val="9FBF9C1495514474A0212F1D5F79613F"/>
    <w:rsid w:val="00BD4F9A"/>
    <w:pPr>
      <w:spacing w:after="160" w:line="259" w:lineRule="auto"/>
    </w:pPr>
  </w:style>
  <w:style w:type="paragraph" w:customStyle="1" w:styleId="174248E7B57C48F68A6C148B69E26490">
    <w:name w:val="174248E7B57C48F68A6C148B69E26490"/>
    <w:rsid w:val="00BD4F9A"/>
    <w:pPr>
      <w:spacing w:after="160" w:line="259" w:lineRule="auto"/>
    </w:pPr>
  </w:style>
  <w:style w:type="paragraph" w:customStyle="1" w:styleId="8A453DD0C80C4C9E97D9D75D78E35565">
    <w:name w:val="8A453DD0C80C4C9E97D9D75D78E35565"/>
    <w:rsid w:val="00BD4F9A"/>
    <w:pPr>
      <w:spacing w:after="160" w:line="259" w:lineRule="auto"/>
    </w:pPr>
  </w:style>
  <w:style w:type="paragraph" w:customStyle="1" w:styleId="F11E77DE068842ED9C7A59A572CFD1AD">
    <w:name w:val="F11E77DE068842ED9C7A59A572CFD1AD"/>
    <w:rsid w:val="00BD4F9A"/>
    <w:pPr>
      <w:spacing w:after="160" w:line="259" w:lineRule="auto"/>
    </w:pPr>
  </w:style>
  <w:style w:type="paragraph" w:customStyle="1" w:styleId="9CB9D223C67A47FA896DA585E9D343DB">
    <w:name w:val="9CB9D223C67A47FA896DA585E9D343DB"/>
    <w:rsid w:val="007C2431"/>
    <w:pPr>
      <w:spacing w:after="160" w:line="259" w:lineRule="auto"/>
    </w:pPr>
  </w:style>
  <w:style w:type="paragraph" w:customStyle="1" w:styleId="4A73081E715545E980FB6468A3C0532B">
    <w:name w:val="4A73081E715545E980FB6468A3C0532B"/>
    <w:rsid w:val="007C2431"/>
    <w:pPr>
      <w:spacing w:after="160" w:line="259" w:lineRule="auto"/>
    </w:pPr>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 w:type="paragraph" w:customStyle="1" w:styleId="6456CFC9BEAE418B9371E702D0A6492D">
    <w:name w:val="6456CFC9BEAE418B9371E702D0A6492D"/>
    <w:rsid w:val="00F76BE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89218-4F8B-4021-8737-41B70353A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30</Pages>
  <Words>3446</Words>
  <Characters>19648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sabhi</cp:lastModifiedBy>
  <cp:revision>150</cp:revision>
  <cp:lastPrinted>2025-03-18T10:45:00Z</cp:lastPrinted>
  <dcterms:created xsi:type="dcterms:W3CDTF">2022-02-15T17:03:00Z</dcterms:created>
  <dcterms:modified xsi:type="dcterms:W3CDTF">2025-04-23T15:48:00Z</dcterms:modified>
</cp:coreProperties>
</file>