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algun Gothic" w:hAnsi="Malgun Gothic" w:eastAsia="Malgun Gothic"/>
          <w:b/>
          <w:i w:val="0"/>
          <w:color w:val="C9942E"/>
          <w:sz w:val="18"/>
        </w:rPr>
        <w:t>2026년 6월  |  회계팀</w:t>
      </w:r>
    </w:p>
    <w:p>
      <w:pPr>
        <w:pStyle w:val="Title"/>
      </w:pPr>
      <w:r>
        <w:t>월별 회계 손익보고서</w:t>
      </w:r>
    </w:p>
    <w:p>
      <w:pPr>
        <w:pStyle w:val="Subtitle"/>
      </w:pPr>
      <w:r>
        <w:t>호텔 운영실적과 원인, 후속 조치를 연결한 월간 보고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5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i w:val="0"/>
                <w:color w:val="376F91"/>
                <w:sz w:val="21"/>
              </w:rPr>
              <w:t xml:space="preserve">손익 결론  </w:t>
            </w: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21"/>
              </w:rPr>
              <w:t>관리 손익 기준 총매출은 294.3억원, 총비용은 201.5억원, 영업이익은 92.8억원이며 영업이익률은 31.5%다. 총매출 전월 대비는 -6.4%다.</w:t>
            </w:r>
          </w:p>
        </w:tc>
      </w:tr>
    </w:tbl>
    <w:p>
      <w:pPr>
        <w:spacing w:after="0"/>
      </w:pPr>
    </w:p>
    <w:p>
      <w:pPr>
        <w:pStyle w:val="Heading1"/>
      </w:pPr>
      <w:r>
        <w:t>1. 관리 손익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2200"/>
        <w:gridCol w:w="2850"/>
        <w:gridCol w:w="1600"/>
        <w:gridCol w:w="2710"/>
      </w:tblGrid>
      <w:tr>
        <w:trPr>
          <w:tblHeader w:val="true"/>
        </w:trPr>
        <w:tc>
          <w:tcPr>
            <w:tcW w:type="dxa" w:w="2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매출 항목</w:t>
            </w:r>
          </w:p>
        </w:tc>
        <w:tc>
          <w:tcPr>
            <w:tcW w:type="dxa" w:w="28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금액</w:t>
            </w:r>
          </w:p>
        </w:tc>
        <w:tc>
          <w:tcPr>
            <w:tcW w:type="dxa" w:w="16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구성비</w:t>
            </w:r>
          </w:p>
        </w:tc>
        <w:tc>
          <w:tcPr>
            <w:tcW w:type="dxa" w:w="271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산정 기준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 매출</w:t>
            </w:r>
          </w:p>
        </w:tc>
        <w:tc>
          <w:tcPr>
            <w:tcW w:type="dxa" w:w="2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6,632,629,550원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22.5%</w:t>
            </w:r>
          </w:p>
        </w:tc>
        <w:tc>
          <w:tcPr>
            <w:tcW w:type="dxa" w:w="2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원천 월별값</w:t>
            </w:r>
          </w:p>
        </w:tc>
      </w:tr>
      <w:tr>
        <w:trPr>
          <w:cantSplit/>
        </w:trPr>
        <w:tc>
          <w:tcPr>
            <w:tcW w:type="dxa" w:w="2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식음 매출</w:t>
            </w:r>
          </w:p>
        </w:tc>
        <w:tc>
          <w:tcPr>
            <w:tcW w:type="dxa" w:w="2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12,587,574,362원</w:t>
            </w:r>
          </w:p>
        </w:tc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42.8%</w:t>
            </w:r>
          </w:p>
        </w:tc>
        <w:tc>
          <w:tcPr>
            <w:tcW w:type="dxa" w:w="27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원천 월별값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연회 매출</w:t>
            </w:r>
          </w:p>
        </w:tc>
        <w:tc>
          <w:tcPr>
            <w:tcW w:type="dxa" w:w="2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9,086,113,712원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30.9%</w:t>
            </w:r>
          </w:p>
        </w:tc>
        <w:tc>
          <w:tcPr>
            <w:tcW w:type="dxa" w:w="2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원천 월별값</w:t>
            </w:r>
          </w:p>
        </w:tc>
      </w:tr>
      <w:tr>
        <w:trPr>
          <w:cantSplit/>
        </w:trPr>
        <w:tc>
          <w:tcPr>
            <w:tcW w:type="dxa" w:w="2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부대시설 매출</w:t>
            </w:r>
          </w:p>
        </w:tc>
        <w:tc>
          <w:tcPr>
            <w:tcW w:type="dxa" w:w="2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1,122,523,000원</w:t>
            </w:r>
          </w:p>
        </w:tc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3.8%</w:t>
            </w:r>
          </w:p>
        </w:tc>
        <w:tc>
          <w:tcPr>
            <w:tcW w:type="dxa" w:w="27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원천 월별값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총매출</w:t>
            </w:r>
          </w:p>
        </w:tc>
        <w:tc>
          <w:tcPr>
            <w:tcW w:type="dxa" w:w="2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29,428,840,624원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100.0%</w:t>
            </w:r>
          </w:p>
        </w:tc>
        <w:tc>
          <w:tcPr>
            <w:tcW w:type="dxa" w:w="2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부문 합계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2200"/>
        <w:gridCol w:w="2850"/>
        <w:gridCol w:w="1600"/>
        <w:gridCol w:w="2710"/>
      </w:tblGrid>
      <w:tr>
        <w:trPr>
          <w:tblHeader w:val="true"/>
        </w:trPr>
        <w:tc>
          <w:tcPr>
            <w:tcW w:type="dxa" w:w="2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비용·이익 항목</w:t>
            </w:r>
          </w:p>
        </w:tc>
        <w:tc>
          <w:tcPr>
            <w:tcW w:type="dxa" w:w="28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금액</w:t>
            </w:r>
          </w:p>
        </w:tc>
        <w:tc>
          <w:tcPr>
            <w:tcW w:type="dxa" w:w="16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매출 대비</w:t>
            </w:r>
          </w:p>
        </w:tc>
        <w:tc>
          <w:tcPr>
            <w:tcW w:type="dxa" w:w="271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산정 기준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 원가</w:t>
            </w:r>
          </w:p>
        </w:tc>
        <w:tc>
          <w:tcPr>
            <w:tcW w:type="dxa" w:w="2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3,714,272,548원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12.6%</w:t>
            </w:r>
          </w:p>
        </w:tc>
        <w:tc>
          <w:tcPr>
            <w:tcW w:type="dxa" w:w="2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관리 추정</w:t>
            </w:r>
          </w:p>
        </w:tc>
      </w:tr>
      <w:tr>
        <w:trPr>
          <w:cantSplit/>
        </w:trPr>
        <w:tc>
          <w:tcPr>
            <w:tcW w:type="dxa" w:w="2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식음 원가</w:t>
            </w:r>
          </w:p>
        </w:tc>
        <w:tc>
          <w:tcPr>
            <w:tcW w:type="dxa" w:w="2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8,685,426,310원</w:t>
            </w:r>
          </w:p>
        </w:tc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29.5%</w:t>
            </w:r>
          </w:p>
        </w:tc>
        <w:tc>
          <w:tcPr>
            <w:tcW w:type="dxa" w:w="27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관리 추정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연회 원가</w:t>
            </w:r>
          </w:p>
        </w:tc>
        <w:tc>
          <w:tcPr>
            <w:tcW w:type="dxa" w:w="2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3,924,411,369원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13.3%</w:t>
            </w:r>
          </w:p>
        </w:tc>
        <w:tc>
          <w:tcPr>
            <w:tcW w:type="dxa" w:w="2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원천 월별값</w:t>
            </w:r>
          </w:p>
        </w:tc>
      </w:tr>
      <w:tr>
        <w:trPr>
          <w:cantSplit/>
        </w:trPr>
        <w:tc>
          <w:tcPr>
            <w:tcW w:type="dxa" w:w="2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부대시설 원가</w:t>
            </w:r>
          </w:p>
        </w:tc>
        <w:tc>
          <w:tcPr>
            <w:tcW w:type="dxa" w:w="2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819,441,790원</w:t>
            </w:r>
          </w:p>
        </w:tc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2.8%</w:t>
            </w:r>
          </w:p>
        </w:tc>
        <w:tc>
          <w:tcPr>
            <w:tcW w:type="dxa" w:w="27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관리 추정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공통 운영비</w:t>
            </w:r>
          </w:p>
        </w:tc>
        <w:tc>
          <w:tcPr>
            <w:tcW w:type="dxa" w:w="2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3,001,741,744원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10.2%</w:t>
            </w:r>
          </w:p>
        </w:tc>
        <w:tc>
          <w:tcPr>
            <w:tcW w:type="dxa" w:w="2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관리 추정</w:t>
            </w:r>
          </w:p>
        </w:tc>
      </w:tr>
      <w:tr>
        <w:trPr>
          <w:cantSplit/>
        </w:trPr>
        <w:tc>
          <w:tcPr>
            <w:tcW w:type="dxa" w:w="2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총비용</w:t>
            </w:r>
          </w:p>
        </w:tc>
        <w:tc>
          <w:tcPr>
            <w:tcW w:type="dxa" w:w="2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20,145,293,761원</w:t>
            </w:r>
          </w:p>
        </w:tc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68.5%</w:t>
            </w:r>
          </w:p>
        </w:tc>
        <w:tc>
          <w:tcPr>
            <w:tcW w:type="dxa" w:w="27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비용 합계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영업이익</w:t>
            </w:r>
          </w:p>
        </w:tc>
        <w:tc>
          <w:tcPr>
            <w:tcW w:type="dxa" w:w="2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9,283,546,863원</w:t>
            </w:r>
          </w:p>
        </w:tc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31.5%</w:t>
            </w:r>
          </w:p>
        </w:tc>
        <w:tc>
          <w:tcPr>
            <w:tcW w:type="dxa" w:w="27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총매출－총비용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객실·식음·부대시설 원가와 공통 운영비는 관리 추정 원가율을 적용했다. 연회 원가는 원천 월별값을 사용했다.</w:t>
      </w:r>
    </w:p>
    <w:p>
      <w:r>
        <w:br w:type="page"/>
      </w:r>
    </w:p>
    <w:p>
      <w:pPr>
        <w:pStyle w:val="Heading1"/>
      </w:pPr>
      <w:r>
        <w:t>2. 부문별 증감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600"/>
        <w:gridCol w:w="2700"/>
        <w:gridCol w:w="1700"/>
        <w:gridCol w:w="3360"/>
      </w:tblGrid>
      <w:tr>
        <w:trPr>
          <w:tblHeader w:val="true"/>
        </w:trPr>
        <w:tc>
          <w:tcPr>
            <w:tcW w:type="dxa" w:w="16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부문</w:t>
            </w:r>
          </w:p>
        </w:tc>
        <w:tc>
          <w:tcPr>
            <w:tcW w:type="dxa" w:w="2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당월 매출</w:t>
            </w:r>
          </w:p>
        </w:tc>
        <w:tc>
          <w:tcPr>
            <w:tcW w:type="dxa" w:w="1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전월 대비</w:t>
            </w:r>
          </w:p>
        </w:tc>
        <w:tc>
          <w:tcPr>
            <w:tcW w:type="dxa" w:w="33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경영 해석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</w:t>
            </w:r>
          </w:p>
        </w:tc>
        <w:tc>
          <w:tcPr>
            <w:tcW w:type="dxa" w:w="2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6,632,629,550원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+8.5%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구성비와 변동 방향을 함께 관리</w:t>
            </w:r>
          </w:p>
        </w:tc>
      </w:tr>
      <w:tr>
        <w:trPr>
          <w:cantSplit/>
        </w:trPr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식음</w:t>
            </w:r>
          </w:p>
        </w:tc>
        <w:tc>
          <w:tcPr>
            <w:tcW w:type="dxa" w:w="2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12,587,574,362원</w:t>
            </w:r>
          </w:p>
        </w:tc>
        <w:tc>
          <w:tcPr>
            <w:tcW w:type="dxa" w:w="1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-14.6%</w:t>
            </w:r>
          </w:p>
        </w:tc>
        <w:tc>
          <w:tcPr>
            <w:tcW w:type="dxa" w:w="33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구성비와 변동 방향을 함께 관리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연회</w:t>
            </w:r>
          </w:p>
        </w:tc>
        <w:tc>
          <w:tcPr>
            <w:tcW w:type="dxa" w:w="2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9,086,113,712원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-4.0%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구성비와 변동 방향을 함께 관리</w:t>
            </w:r>
          </w:p>
        </w:tc>
      </w:tr>
      <w:tr>
        <w:trPr>
          <w:cantSplit/>
        </w:trPr>
        <w:tc>
          <w:tcPr>
            <w:tcW w:type="dxa" w:w="1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부대시설</w:t>
            </w:r>
          </w:p>
        </w:tc>
        <w:tc>
          <w:tcPr>
            <w:tcW w:type="dxa" w:w="2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1,122,523,000원</w:t>
            </w:r>
          </w:p>
        </w:tc>
        <w:tc>
          <w:tcPr>
            <w:tcW w:type="dxa" w:w="1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-1.7%</w:t>
            </w:r>
          </w:p>
        </w:tc>
        <w:tc>
          <w:tcPr>
            <w:tcW w:type="dxa" w:w="33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구성비와 변동 방향을 함께 관리</w:t>
            </w:r>
          </w:p>
        </w:tc>
      </w:tr>
    </w:tbl>
    <w:p>
      <w:pPr>
        <w:pStyle w:val="Heading1"/>
      </w:pPr>
      <w:r>
        <w:t>3. 취소에 따른 손익 위험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350"/>
        <w:gridCol w:w="1250"/>
        <w:gridCol w:w="1100"/>
        <w:gridCol w:w="2300"/>
        <w:gridCol w:w="3360"/>
      </w:tblGrid>
      <w:tr>
        <w:trPr>
          <w:tblHeader w:val="true"/>
        </w:trPr>
        <w:tc>
          <w:tcPr>
            <w:tcW w:type="dxa" w:w="13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구분</w:t>
            </w:r>
          </w:p>
        </w:tc>
        <w:tc>
          <w:tcPr>
            <w:tcW w:type="dxa" w:w="12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취소 건수</w:t>
            </w:r>
          </w:p>
        </w:tc>
        <w:tc>
          <w:tcPr>
            <w:tcW w:type="dxa" w:w="11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취소율</w:t>
            </w:r>
          </w:p>
        </w:tc>
        <w:tc>
          <w:tcPr>
            <w:tcW w:type="dxa" w:w="2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확인할 손익 영향</w:t>
            </w:r>
          </w:p>
        </w:tc>
        <w:tc>
          <w:tcPr>
            <w:tcW w:type="dxa" w:w="33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관리 방향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 예약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1,686건</w:t>
            </w:r>
          </w:p>
        </w:tc>
        <w:tc>
          <w:tcPr>
            <w:tcW w:type="dxa" w:w="1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18.07%</w:t>
            </w:r>
          </w:p>
        </w:tc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1,221,080,000원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예약 변경·가격 민감</w:t>
            </w:r>
          </w:p>
        </w:tc>
      </w:tr>
      <w:tr>
        <w:trPr>
          <w:cantSplit/>
        </w:trPr>
        <w:tc>
          <w:tcPr>
            <w:tcW w:type="dxa" w:w="13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식음 결제</w:t>
            </w:r>
          </w:p>
        </w:tc>
        <w:tc>
          <w:tcPr>
            <w:tcW w:type="dxa" w:w="12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617건</w:t>
            </w:r>
          </w:p>
        </w:tc>
        <w:tc>
          <w:tcPr>
            <w:tcW w:type="dxa" w:w="1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2.30%</w:t>
            </w:r>
          </w:p>
        </w:tc>
        <w:tc>
          <w:tcPr>
            <w:tcW w:type="dxa" w:w="2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전액 취소</w:t>
            </w:r>
          </w:p>
        </w:tc>
        <w:tc>
          <w:tcPr>
            <w:tcW w:type="dxa" w:w="33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결제 취소·전액 환불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연회 예약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29건</w:t>
            </w:r>
          </w:p>
        </w:tc>
        <w:tc>
          <w:tcPr>
            <w:tcW w:type="dxa" w:w="1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8.90%</w:t>
            </w:r>
          </w:p>
        </w:tc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예약 취소</w:t>
            </w:r>
          </w:p>
        </w:tc>
        <w:tc>
          <w:tcPr>
            <w:tcW w:type="dxa" w:w="33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행사 일정·계약 변경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객실 취소 금액은 취소 예약값이다. 식음과 연회는 취소 건수 중심으로 관리하며 매출 손실액으로 단정하지 않는다.</w:t>
      </w:r>
    </w:p>
    <w:p>
      <w:pPr>
        <w:pStyle w:val="Heading1"/>
      </w:pPr>
      <w:r>
        <w:t>4. 회계팀 조치사항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1) 관리 추정 원가를 확정 원가와 대조해 차이를 월말 조정표에 반영한다.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2) 객실 취소 예약값, 식음 전액 취소, 연회 예약 취소를 부문별 매출 조정 내역과 대조한다.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3) 호텔·업장·연회장별 매출 상위와 하위를 다음 달 예산 배분 근거로 연결한다.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475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i w:val="0"/>
        <w:color w:val="667788"/>
        <w:sz w:val="16"/>
      </w:rPr>
      <w:t xml:space="preserve">내부 경영보고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i w:val="0"/>
        <w:color w:val="667788"/>
        <w:sz w:val="17"/>
      </w:rPr>
      <w:t>월간 경영보고  |  2026년 6월  |  회계팀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Malgun Gothic"/>
      <w:b w:val="0"/>
      <w:color w:val="2038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832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832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67788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6월 월별 회계 손익보고서</dc:title>
  <dc:subject>회계팀</dc:subject>
  <dc:creator>29기 3팀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