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b w:val="1"/>
          <w:sz w:val="2"/>
          <w:szCs w:val="2"/>
          <w:u w:val="single"/>
        </w:rPr>
      </w:pPr>
      <w:r w:rsidDel="00000000" w:rsidR="00000000" w:rsidRPr="00000000">
        <w:rPr>
          <w:rtl w:val="0"/>
        </w:rPr>
      </w:r>
    </w:p>
    <w:p w:rsidR="00000000" w:rsidDel="00000000" w:rsidP="00000000" w:rsidRDefault="00000000" w:rsidRPr="00000000" w14:paraId="00000002">
      <w:pPr>
        <w:spacing w:after="200" w:lineRule="auto"/>
        <w:jc w:val="center"/>
        <w:rPr>
          <w:rFonts w:ascii="Calibri" w:cs="Calibri" w:eastAsia="Calibri" w:hAnsi="Calibri"/>
          <w:b w:val="1"/>
          <w:sz w:val="28"/>
          <w:szCs w:val="28"/>
        </w:rPr>
      </w:pPr>
      <w:r w:rsidDel="00000000" w:rsidR="00000000" w:rsidRPr="00000000">
        <w:rPr>
          <w:b w:val="1"/>
          <w:sz w:val="36"/>
          <w:szCs w:val="36"/>
          <w:rtl w:val="0"/>
        </w:rPr>
        <w:t xml:space="preserve">COURSE SYLLABUS</w:t>
      </w:r>
      <w:r w:rsidDel="00000000" w:rsidR="00000000" w:rsidRPr="00000000">
        <w:rPr>
          <w:rtl w:val="0"/>
        </w:rPr>
      </w:r>
    </w:p>
    <w:tbl>
      <w:tblPr>
        <w:tblStyle w:val="Table1"/>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9"/>
        <w:gridCol w:w="2025"/>
        <w:gridCol w:w="5266"/>
        <w:tblGridChange w:id="0">
          <w:tblGrid>
            <w:gridCol w:w="3189"/>
            <w:gridCol w:w="2025"/>
            <w:gridCol w:w="5266"/>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Course Code:</w:t>
            </w:r>
            <w:r w:rsidDel="00000000" w:rsidR="00000000" w:rsidRPr="00000000">
              <w:rPr>
                <w:rFonts w:ascii="Calibri" w:cs="Calibri" w:eastAsia="Calibri" w:hAnsi="Calibri"/>
                <w:sz w:val="24"/>
                <w:szCs w:val="24"/>
                <w:rtl w:val="0"/>
              </w:rPr>
              <w:t xml:space="preserve"> CS2212</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Course Name: </w:t>
            </w:r>
            <w:r w:rsidDel="00000000" w:rsidR="00000000" w:rsidRPr="00000000">
              <w:rPr>
                <w:rFonts w:ascii="Calibri" w:cs="Calibri" w:eastAsia="Calibri" w:hAnsi="Calibri"/>
                <w:sz w:val="24"/>
                <w:szCs w:val="24"/>
                <w:rtl w:val="0"/>
              </w:rPr>
              <w:t xml:space="preserve">Introduction to Machine Learning 2</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Semester: </w:t>
            </w: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w:t>
            </w:r>
            <w:r w:rsidDel="00000000" w:rsidR="00000000" w:rsidRPr="00000000">
              <w:rPr>
                <w:rFonts w:ascii="Calibri" w:cs="Calibri" w:eastAsia="Calibri" w:hAnsi="Calibri"/>
                <w:sz w:val="24"/>
                <w:szCs w:val="24"/>
                <w:rtl w:val="0"/>
              </w:rPr>
              <w:t xml:space="preserve">Major Computer Science Core (Programming) </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alibri" w:cs="Calibri" w:eastAsia="Calibri" w:hAnsi="Calibri"/>
                <w:strike w:val="1"/>
                <w:sz w:val="24"/>
                <w:szCs w:val="24"/>
              </w:rPr>
            </w:pPr>
            <w:r w:rsidDel="00000000" w:rsidR="00000000" w:rsidRPr="00000000">
              <w:rPr>
                <w:rFonts w:ascii="Calibri" w:cs="Calibri" w:eastAsia="Calibri" w:hAnsi="Calibri"/>
                <w:b w:val="1"/>
                <w:sz w:val="24"/>
                <w:szCs w:val="24"/>
                <w:rtl w:val="0"/>
              </w:rPr>
              <w:t xml:space="preserve">Credits: </w:t>
            </w: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 T P J: </w:t>
            </w:r>
            <w:r w:rsidDel="00000000" w:rsidR="00000000" w:rsidRPr="00000000">
              <w:rPr>
                <w:rFonts w:ascii="Calibri" w:cs="Calibri" w:eastAsia="Calibri" w:hAnsi="Calibri"/>
                <w:sz w:val="24"/>
                <w:szCs w:val="24"/>
                <w:rtl w:val="0"/>
              </w:rPr>
              <w:t xml:space="preserve">1 0 1 0</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 Hours:</w:t>
            </w:r>
            <w:r w:rsidDel="00000000" w:rsidR="00000000" w:rsidRPr="00000000">
              <w:rPr>
                <w:rFonts w:ascii="Calibri" w:cs="Calibri" w:eastAsia="Calibri" w:hAnsi="Calibri"/>
                <w:sz w:val="24"/>
                <w:szCs w:val="24"/>
                <w:rtl w:val="0"/>
              </w:rPr>
              <w:t xml:space="preserve"> 15:0:30:0 = 45</w:t>
            </w:r>
          </w:p>
        </w:tc>
      </w:tr>
      <w:tr>
        <w:trPr>
          <w:cantSplit w:val="0"/>
          <w:trHeight w:val="48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Prerequisite (Course/Skill/Knowledge): </w:t>
            </w:r>
          </w:p>
          <w:p w:rsidR="00000000" w:rsidDel="00000000" w:rsidP="00000000" w:rsidRDefault="00000000" w:rsidRPr="00000000" w14:paraId="0000000D">
            <w:pPr>
              <w:widowControl w:val="0"/>
              <w:numPr>
                <w:ilvl w:val="0"/>
                <w:numId w:val="3"/>
              </w:numPr>
              <w:spacing w:line="240" w:lineRule="auto"/>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Sem 4: CS2211 - Introduction to Machine Learning 1</w:t>
            </w:r>
          </w:p>
        </w:tc>
      </w:tr>
    </w:tbl>
    <w:p w:rsidR="00000000" w:rsidDel="00000000" w:rsidP="00000000" w:rsidRDefault="00000000" w:rsidRPr="00000000" w14:paraId="00000010">
      <w:pPr>
        <w:spacing w:line="240"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1">
      <w:pPr>
        <w:pStyle w:val="Heading1"/>
        <w:spacing w:after="0" w:before="0" w:line="360" w:lineRule="auto"/>
        <w:rPr>
          <w:b w:val="1"/>
          <w:sz w:val="26"/>
          <w:szCs w:val="26"/>
        </w:rPr>
      </w:pPr>
      <w:bookmarkStart w:colFirst="0" w:colLast="0" w:name="_heading=h.vlavc9knl446" w:id="0"/>
      <w:bookmarkEnd w:id="0"/>
      <w:r w:rsidDel="00000000" w:rsidR="00000000" w:rsidRPr="00000000">
        <w:rPr>
          <w:b w:val="1"/>
          <w:sz w:val="26"/>
          <w:szCs w:val="26"/>
          <w:rtl w:val="0"/>
        </w:rPr>
        <w:t xml:space="preserve">Course Overview</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Machine Learning 2 is a fourth-semester computer science core course designed for undergraduate students with a prerequisite in CS2211. This course introduces students to the complicated models of machine learning and deep learning. This course will cover supervised, unsupervised, and deep learning, along with hyperparameter tuning. Students are provided with real-time datasets and activities to inculcate the skills of problem solving, critical thinking and adaptability</w:t>
      </w:r>
    </w:p>
    <w:p w:rsidR="00000000" w:rsidDel="00000000" w:rsidP="00000000" w:rsidRDefault="00000000" w:rsidRPr="00000000" w14:paraId="00000013">
      <w:pPr>
        <w:ind w:left="0" w:firstLine="0"/>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14">
      <w:pPr>
        <w:pStyle w:val="Heading1"/>
        <w:spacing w:after="0" w:before="0" w:line="360" w:lineRule="auto"/>
        <w:rPr>
          <w:b w:val="1"/>
          <w:sz w:val="26"/>
          <w:szCs w:val="26"/>
        </w:rPr>
      </w:pPr>
      <w:r w:rsidDel="00000000" w:rsidR="00000000" w:rsidRPr="00000000">
        <w:rPr>
          <w:b w:val="1"/>
          <w:sz w:val="26"/>
          <w:szCs w:val="26"/>
          <w:rtl w:val="0"/>
        </w:rPr>
        <w:t xml:space="preserve">Course Outcomes and Contents</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CO1: Determine the relationship between dependent and independent variables encountered in </w:t>
      </w:r>
      <w:sdt>
        <w:sdtPr>
          <w:tag w:val="goog_rdk_0"/>
        </w:sdtPr>
        <w:sdtContent>
          <w:commentRangeStart w:id="0"/>
        </w:sdtContent>
      </w:sdt>
      <w:r w:rsidDel="00000000" w:rsidR="00000000" w:rsidRPr="00000000">
        <w:rPr>
          <w:rFonts w:ascii="Calibri" w:cs="Calibri" w:eastAsia="Calibri" w:hAnsi="Calibri"/>
          <w:b w:val="1"/>
          <w:color w:val="ff0000"/>
          <w:sz w:val="24"/>
          <w:szCs w:val="24"/>
          <w:rtl w:val="0"/>
        </w:rPr>
        <w:t xml:space="preserve">specific domains</w:t>
      </w:r>
      <w:commentRangeEnd w:id="0"/>
      <w:r w:rsidDel="00000000" w:rsidR="00000000" w:rsidRPr="00000000">
        <w:commentReference w:id="0"/>
      </w:r>
      <w:r w:rsidDel="00000000" w:rsidR="00000000" w:rsidRPr="00000000">
        <w:rPr>
          <w:rFonts w:ascii="Calibri" w:cs="Calibri" w:eastAsia="Calibri" w:hAnsi="Calibri"/>
          <w:b w:val="1"/>
          <w:sz w:val="24"/>
          <w:szCs w:val="24"/>
          <w:rtl w:val="0"/>
        </w:rPr>
        <w:t xml:space="preserve"> using multiple linear regression and its error metrics (MSE, MAE, RMSE)</w:t>
        <w:tab/>
        <w:tab/>
        <w:t xml:space="preserve">6 Hours</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Multiple-linear regression, mean squared error, mean absolute error, root mean squared error.</w:t>
      </w:r>
    </w:p>
    <w:p w:rsidR="00000000" w:rsidDel="00000000" w:rsidP="00000000" w:rsidRDefault="00000000" w:rsidRPr="00000000" w14:paraId="0000001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CO2: Improve model performance of multiple linear regression using grid search hyperparameter tuning technique</w:t>
        <w:tab/>
        <w:tab/>
        <w:tab/>
        <w:tab/>
        <w:tab/>
        <w:tab/>
        <w:tab/>
        <w:tab/>
        <w:tab/>
        <w:tab/>
        <w:tab/>
        <w:tab/>
        <w:t xml:space="preserve">3 Hours</w:t>
        <w:tab/>
      </w:r>
      <w:r w:rsidDel="00000000" w:rsidR="00000000" w:rsidRPr="00000000">
        <w:rPr>
          <w:rFonts w:ascii="Calibri" w:cs="Calibri" w:eastAsia="Calibri" w:hAnsi="Calibri"/>
          <w:sz w:val="24"/>
          <w:szCs w:val="24"/>
          <w:rtl w:val="0"/>
        </w:rPr>
        <w:t xml:space="preserve">Hyperparameters, common hyperparameters with examples, and hyperparameter tuning techniques: grid search, random search</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CO3: Perform model evaluation using cross-validation, confusion matrix, classification report and area under curve for Decision Tree in</w:t>
      </w:r>
      <w:r w:rsidDel="00000000" w:rsidR="00000000" w:rsidRPr="00000000">
        <w:rPr>
          <w:rFonts w:ascii="Calibri" w:cs="Calibri" w:eastAsia="Calibri" w:hAnsi="Calibri"/>
          <w:b w:val="1"/>
          <w:color w:val="ff0000"/>
          <w:sz w:val="24"/>
          <w:szCs w:val="24"/>
          <w:rtl w:val="0"/>
        </w:rPr>
        <w:t xml:space="preserve"> specific domains</w:t>
      </w:r>
      <w:r w:rsidDel="00000000" w:rsidR="00000000" w:rsidRPr="00000000">
        <w:rPr>
          <w:rFonts w:ascii="Calibri" w:cs="Calibri" w:eastAsia="Calibri" w:hAnsi="Calibri"/>
          <w:b w:val="1"/>
          <w:sz w:val="24"/>
          <w:szCs w:val="24"/>
          <w:rtl w:val="0"/>
        </w:rPr>
        <w:tab/>
        <w:tab/>
        <w:tab/>
        <w:tab/>
        <w:tab/>
        <w:tab/>
        <w:tab/>
        <w:tab/>
        <w:t xml:space="preserve">6 Hours</w:t>
      </w:r>
    </w:p>
    <w:p w:rsidR="00000000" w:rsidDel="00000000" w:rsidP="00000000" w:rsidRDefault="00000000" w:rsidRPr="00000000" w14:paraId="0000001B">
      <w:pPr>
        <w:widowControl w:val="0"/>
        <w:tabs>
          <w:tab w:val="right" w:leader="none" w:pos="12000"/>
        </w:tabs>
        <w:spacing w:before="60"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Random forest, model evaluation metrics: confusion matrix, accuracy, precision, recall, F1-Score, cross validation, Area under curve, Gradient Boosting.</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CO4: Apply Principal Component Analysis (PCA) to reduce dimensionality on real-world datasets belonging to </w:t>
      </w:r>
      <w:r w:rsidDel="00000000" w:rsidR="00000000" w:rsidRPr="00000000">
        <w:rPr>
          <w:rFonts w:ascii="Calibri" w:cs="Calibri" w:eastAsia="Calibri" w:hAnsi="Calibri"/>
          <w:b w:val="1"/>
          <w:color w:val="ff0000"/>
          <w:sz w:val="24"/>
          <w:szCs w:val="24"/>
          <w:rtl w:val="0"/>
        </w:rPr>
        <w:t xml:space="preserve">health/finance</w:t>
        <w:tab/>
        <w:tab/>
        <w:tab/>
        <w:tab/>
        <w:tab/>
        <w:tab/>
        <w:tab/>
        <w:tab/>
        <w:tab/>
        <w:tab/>
        <w:tab/>
      </w:r>
      <w:r w:rsidDel="00000000" w:rsidR="00000000" w:rsidRPr="00000000">
        <w:rPr>
          <w:rFonts w:ascii="Calibri" w:cs="Calibri" w:eastAsia="Calibri" w:hAnsi="Calibri"/>
          <w:b w:val="1"/>
          <w:sz w:val="24"/>
          <w:szCs w:val="24"/>
          <w:rtl w:val="0"/>
        </w:rPr>
        <w:t xml:space="preserve">6 Hours</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Dimensionality reduction techniques - Principal Component Analysis (PCA)</w:t>
      </w:r>
    </w:p>
    <w:p w:rsidR="00000000" w:rsidDel="00000000" w:rsidP="00000000" w:rsidRDefault="00000000" w:rsidRPr="00000000" w14:paraId="0000001F">
      <w:pPr>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CO5: Apply convolutional neural networks for classification </w:t>
        <w:tab/>
        <w:tab/>
        <w:tab/>
        <w:tab/>
        <w:tab/>
        <w:t xml:space="preserve">9 Hours</w:t>
      </w:r>
    </w:p>
    <w:p w:rsidR="00000000" w:rsidDel="00000000" w:rsidP="00000000" w:rsidRDefault="00000000" w:rsidRPr="00000000" w14:paraId="00000021">
      <w:pPr>
        <w:jc w:val="both"/>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Introduction to CNN: Difference between CNN and MLP; Layers in CNN: Convolution, Pooling, BatchNorm, Dropout, Activation, Dense Layers, Loss Functions, Standard CNN models.</w:t>
      </w:r>
      <w:r w:rsidDel="00000000" w:rsidR="00000000" w:rsidRPr="00000000">
        <w:rPr>
          <w:rtl w:val="0"/>
        </w:rPr>
      </w:r>
    </w:p>
    <w:p w:rsidR="00000000" w:rsidDel="00000000" w:rsidP="00000000" w:rsidRDefault="00000000" w:rsidRPr="00000000" w14:paraId="00000022">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CO6: </w:t>
      </w:r>
      <w:r w:rsidDel="00000000" w:rsidR="00000000" w:rsidRPr="00000000">
        <w:rPr>
          <w:b w:val="1"/>
          <w:rtl w:val="0"/>
        </w:rPr>
        <w:t xml:space="preserve">Understand the building blocks of a classic CNN model (ResNet, VGG-18)</w:t>
      </w:r>
      <w:r w:rsidDel="00000000" w:rsidR="00000000" w:rsidRPr="00000000">
        <w:rPr>
          <w:rFonts w:ascii="Calibri" w:cs="Calibri" w:eastAsia="Calibri" w:hAnsi="Calibri"/>
          <w:b w:val="1"/>
          <w:sz w:val="24"/>
          <w:szCs w:val="24"/>
          <w:rtl w:val="0"/>
        </w:rPr>
        <w:tab/>
        <w:tab/>
        <w:t xml:space="preserve">3 Hours</w:t>
      </w:r>
    </w:p>
    <w:p w:rsidR="00000000" w:rsidDel="00000000" w:rsidP="00000000" w:rsidRDefault="00000000" w:rsidRPr="00000000" w14:paraId="0000002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ResNet : Residual connections,  ResNet model: variants, VGG-18.</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CO7: Solve a real-world problem belonging to </w:t>
      </w:r>
      <w:r w:rsidDel="00000000" w:rsidR="00000000" w:rsidRPr="00000000">
        <w:rPr>
          <w:rFonts w:ascii="Calibri" w:cs="Calibri" w:eastAsia="Calibri" w:hAnsi="Calibri"/>
          <w:b w:val="1"/>
          <w:color w:val="ff0000"/>
          <w:sz w:val="24"/>
          <w:szCs w:val="24"/>
          <w:rtl w:val="0"/>
        </w:rPr>
        <w:t xml:space="preserve">health/finance</w:t>
      </w:r>
      <w:r w:rsidDel="00000000" w:rsidR="00000000" w:rsidRPr="00000000">
        <w:rPr>
          <w:rFonts w:ascii="Calibri" w:cs="Calibri" w:eastAsia="Calibri" w:hAnsi="Calibri"/>
          <w:b w:val="1"/>
          <w:sz w:val="24"/>
          <w:szCs w:val="24"/>
          <w:rtl w:val="0"/>
        </w:rPr>
        <w:t xml:space="preserve"> by applying machine learning skills</w:t>
      </w:r>
    </w:p>
    <w:p w:rsidR="00000000" w:rsidDel="00000000" w:rsidP="00000000" w:rsidRDefault="00000000" w:rsidRPr="00000000" w14:paraId="0000002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tab/>
        <w:tab/>
        <w:tab/>
        <w:tab/>
        <w:tab/>
        <w:tab/>
        <w:tab/>
        <w:tab/>
        <w:tab/>
        <w:tab/>
        <w:t xml:space="preserve">12 Hours</w:t>
      </w:r>
    </w:p>
    <w:p w:rsidR="00000000" w:rsidDel="00000000" w:rsidP="00000000" w:rsidRDefault="00000000" w:rsidRPr="00000000" w14:paraId="00000028">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Project selection, project status review-1. Final project submission: source code and report, presentation, and Viva.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2A">
      <w:pPr>
        <w:pStyle w:val="Heading1"/>
        <w:spacing w:after="0" w:before="0" w:line="360" w:lineRule="auto"/>
        <w:rPr>
          <w:b w:val="1"/>
          <w:sz w:val="26"/>
          <w:szCs w:val="26"/>
        </w:rPr>
      </w:pPr>
      <w:r w:rsidDel="00000000" w:rsidR="00000000" w:rsidRPr="00000000">
        <w:rPr>
          <w:b w:val="1"/>
          <w:sz w:val="26"/>
          <w:szCs w:val="26"/>
          <w:rtl w:val="0"/>
        </w:rPr>
        <w:t xml:space="preserve">Textbooks</w:t>
      </w:r>
    </w:p>
    <w:p w:rsidR="00000000" w:rsidDel="00000000" w:rsidP="00000000" w:rsidRDefault="00000000" w:rsidRPr="00000000" w14:paraId="0000002B">
      <w:pPr>
        <w:numPr>
          <w:ilvl w:val="0"/>
          <w:numId w:val="1"/>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Müller, A. C., &amp; Guido, S. (2016). </w:t>
      </w:r>
      <w:r w:rsidDel="00000000" w:rsidR="00000000" w:rsidRPr="00000000">
        <w:rPr>
          <w:i w:val="1"/>
          <w:color w:val="222222"/>
          <w:sz w:val="20"/>
          <w:szCs w:val="20"/>
          <w:highlight w:val="white"/>
          <w:rtl w:val="0"/>
        </w:rPr>
        <w:t xml:space="preserve">Introduction to machine learning with Python: a guide for data scientists</w:t>
      </w:r>
      <w:r w:rsidDel="00000000" w:rsidR="00000000" w:rsidRPr="00000000">
        <w:rPr>
          <w:color w:val="222222"/>
          <w:sz w:val="20"/>
          <w:szCs w:val="20"/>
          <w:highlight w:val="white"/>
          <w:rtl w:val="0"/>
        </w:rPr>
        <w:t xml:space="preserve">. " O'Reilly Media, Inc.".</w:t>
      </w:r>
    </w:p>
    <w:p w:rsidR="00000000" w:rsidDel="00000000" w:rsidP="00000000" w:rsidRDefault="00000000" w:rsidRPr="00000000" w14:paraId="0000002C">
      <w:pPr>
        <w:numPr>
          <w:ilvl w:val="0"/>
          <w:numId w:val="1"/>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Aurélien, Géron. "Hands-on machine learning with scikit-learn &amp; tensorflow." </w:t>
      </w:r>
      <w:r w:rsidDel="00000000" w:rsidR="00000000" w:rsidRPr="00000000">
        <w:rPr>
          <w:i w:val="1"/>
          <w:color w:val="222222"/>
          <w:sz w:val="20"/>
          <w:szCs w:val="20"/>
          <w:highlight w:val="white"/>
          <w:rtl w:val="0"/>
        </w:rPr>
        <w:t xml:space="preserve">Geron Aurelien</w:t>
      </w:r>
      <w:r w:rsidDel="00000000" w:rsidR="00000000" w:rsidRPr="00000000">
        <w:rPr>
          <w:color w:val="222222"/>
          <w:sz w:val="20"/>
          <w:szCs w:val="20"/>
          <w:highlight w:val="white"/>
          <w:rtl w:val="0"/>
        </w:rPr>
        <w:t xml:space="preserve"> 134 (2017): 145-150.</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360" w:lineRule="auto"/>
        <w:rPr>
          <w:b w:val="1"/>
          <w:sz w:val="26"/>
          <w:szCs w:val="26"/>
        </w:rPr>
      </w:pPr>
      <w:r w:rsidDel="00000000" w:rsidR="00000000" w:rsidRPr="00000000">
        <w:rPr>
          <w:b w:val="1"/>
          <w:sz w:val="26"/>
          <w:szCs w:val="26"/>
          <w:rtl w:val="0"/>
        </w:rPr>
        <w:t xml:space="preserve">Reference Material</w:t>
      </w:r>
    </w:p>
    <w:p w:rsidR="00000000" w:rsidDel="00000000" w:rsidP="00000000" w:rsidRDefault="00000000" w:rsidRPr="00000000" w14:paraId="0000002F">
      <w:pPr>
        <w:numPr>
          <w:ilvl w:val="0"/>
          <w:numId w:val="2"/>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Goodfellow, I., Bengio, Y., &amp; Courville, A. (2016). </w:t>
      </w:r>
      <w:r w:rsidDel="00000000" w:rsidR="00000000" w:rsidRPr="00000000">
        <w:rPr>
          <w:i w:val="1"/>
          <w:color w:val="222222"/>
          <w:sz w:val="20"/>
          <w:szCs w:val="20"/>
          <w:highlight w:val="white"/>
          <w:rtl w:val="0"/>
        </w:rPr>
        <w:t xml:space="preserve">Deep learning</w:t>
      </w:r>
      <w:r w:rsidDel="00000000" w:rsidR="00000000" w:rsidRPr="00000000">
        <w:rPr>
          <w:color w:val="222222"/>
          <w:sz w:val="20"/>
          <w:szCs w:val="20"/>
          <w:highlight w:val="white"/>
          <w:rtl w:val="0"/>
        </w:rPr>
        <w:t xml:space="preserve">. MIT press.</w:t>
      </w:r>
    </w:p>
    <w:p w:rsidR="00000000" w:rsidDel="00000000" w:rsidP="00000000" w:rsidRDefault="00000000" w:rsidRPr="00000000" w14:paraId="00000030">
      <w:pPr>
        <w:numPr>
          <w:ilvl w:val="0"/>
          <w:numId w:val="2"/>
        </w:numPr>
        <w:ind w:left="360"/>
        <w:jc w:val="both"/>
        <w:rPr>
          <w:color w:val="222222"/>
          <w:sz w:val="20"/>
          <w:szCs w:val="20"/>
          <w:highlight w:val="white"/>
        </w:rPr>
      </w:pPr>
      <w:r w:rsidDel="00000000" w:rsidR="00000000" w:rsidRPr="00000000">
        <w:rPr>
          <w:color w:val="222222"/>
          <w:sz w:val="20"/>
          <w:szCs w:val="20"/>
          <w:highlight w:val="white"/>
          <w:rtl w:val="0"/>
        </w:rPr>
        <w:t xml:space="preserve">VanderPlas, Jake. </w:t>
      </w:r>
      <w:r w:rsidDel="00000000" w:rsidR="00000000" w:rsidRPr="00000000">
        <w:rPr>
          <w:i w:val="1"/>
          <w:color w:val="222222"/>
          <w:sz w:val="20"/>
          <w:szCs w:val="20"/>
          <w:highlight w:val="white"/>
          <w:rtl w:val="0"/>
        </w:rPr>
        <w:t xml:space="preserve">Python data science handbook: Essential tools for working with data</w:t>
      </w:r>
      <w:r w:rsidDel="00000000" w:rsidR="00000000" w:rsidRPr="00000000">
        <w:rPr>
          <w:color w:val="222222"/>
          <w:sz w:val="20"/>
          <w:szCs w:val="20"/>
          <w:highlight w:val="white"/>
          <w:rtl w:val="0"/>
        </w:rPr>
        <w:t xml:space="preserve">. " O'Reilly Media, Inc.", 2016.</w:t>
      </w:r>
    </w:p>
    <w:p w:rsidR="00000000" w:rsidDel="00000000" w:rsidP="00000000" w:rsidRDefault="00000000" w:rsidRPr="00000000" w14:paraId="0000003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32">
      <w:pPr>
        <w:pStyle w:val="Heading1"/>
        <w:spacing w:after="0" w:before="0" w:line="360" w:lineRule="auto"/>
        <w:rPr>
          <w:b w:val="1"/>
          <w:sz w:val="26"/>
          <w:szCs w:val="26"/>
        </w:rPr>
      </w:pPr>
      <w:bookmarkStart w:colFirst="0" w:colLast="0" w:name="_heading=h.x7w04latof7i" w:id="1"/>
      <w:bookmarkEnd w:id="1"/>
      <w:r w:rsidDel="00000000" w:rsidR="00000000" w:rsidRPr="00000000">
        <w:rPr>
          <w:b w:val="1"/>
          <w:sz w:val="26"/>
          <w:szCs w:val="26"/>
          <w:rtl w:val="0"/>
        </w:rPr>
        <w:t xml:space="preserve">Activities Plan:  </w:t>
        <w:tab/>
        <w:tab/>
        <w:tab/>
        <w:tab/>
        <w:tab/>
        <w:tab/>
        <w:tab/>
        <w:tab/>
        <w:tab/>
        <w:tab/>
        <w:t xml:space="preserve"> </w:t>
      </w:r>
    </w:p>
    <w:p w:rsidR="00000000" w:rsidDel="00000000" w:rsidP="00000000" w:rsidRDefault="00000000" w:rsidRPr="00000000" w14:paraId="0000003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Please provide the details of HW or SW tools or platforms planned to be used for the lab activities.</w:t>
      </w:r>
    </w:p>
    <w:p w:rsidR="00000000" w:rsidDel="00000000" w:rsidP="00000000" w:rsidRDefault="00000000" w:rsidRPr="00000000" w14:paraId="00000034">
      <w:pPr>
        <w:jc w:val="both"/>
        <w:rPr>
          <w:rFonts w:ascii="Calibri" w:cs="Calibri" w:eastAsia="Calibri" w:hAnsi="Calibri"/>
          <w:color w:val="ff0000"/>
          <w:sz w:val="24"/>
          <w:szCs w:val="24"/>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205"/>
        <w:gridCol w:w="3597"/>
        <w:tblGridChange w:id="0">
          <w:tblGrid>
            <w:gridCol w:w="988"/>
            <w:gridCol w:w="6205"/>
            <w:gridCol w:w="3597"/>
          </w:tblGrid>
        </w:tblGridChange>
      </w:tblGrid>
      <w:tr>
        <w:trPr>
          <w:cantSplit w:val="0"/>
          <w:tblHeader w:val="0"/>
        </w:trPr>
        <w:tc>
          <w:tcPr/>
          <w:p w:rsidR="00000000" w:rsidDel="00000000" w:rsidP="00000000" w:rsidRDefault="00000000" w:rsidRPr="00000000" w14:paraId="00000035">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036">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Activity</w:t>
            </w:r>
          </w:p>
        </w:tc>
        <w:tc>
          <w:tcPr/>
          <w:p w:rsidR="00000000" w:rsidDel="00000000" w:rsidP="00000000" w:rsidRDefault="00000000" w:rsidRPr="00000000" w14:paraId="00000037">
            <w:pPr>
              <w:spacing w:line="240" w:lineRule="auto"/>
              <w:jc w:val="both"/>
              <w:rPr>
                <w:rFonts w:ascii="Calibri" w:cs="Calibri" w:eastAsia="Calibri" w:hAnsi="Calibri"/>
                <w:b w:val="1"/>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jc w:val="both"/>
              <w:rPr>
                <w:rFonts w:ascii="Calibri" w:cs="Calibri" w:eastAsia="Calibri" w:hAnsi="Calibri"/>
                <w:b w:val="1"/>
                <w:color w:val="ff0000"/>
                <w:sz w:val="24"/>
                <w:szCs w:val="24"/>
              </w:rPr>
            </w:pPr>
            <w:r w:rsidDel="00000000" w:rsidR="00000000" w:rsidRPr="00000000">
              <w:rPr>
                <w:rtl w:val="0"/>
              </w:rPr>
            </w:r>
          </w:p>
        </w:tc>
        <w:tc>
          <w:tcPr/>
          <w:p w:rsidR="00000000" w:rsidDel="00000000" w:rsidP="00000000" w:rsidRDefault="00000000" w:rsidRPr="00000000" w14:paraId="00000039">
            <w:pPr>
              <w:spacing w:line="240" w:lineRule="auto"/>
              <w:jc w:val="both"/>
              <w:rPr>
                <w:rFonts w:ascii="Calibri" w:cs="Calibri" w:eastAsia="Calibri" w:hAnsi="Calibri"/>
                <w:b w:val="1"/>
                <w:color w:val="ff0000"/>
                <w:sz w:val="24"/>
                <w:szCs w:val="24"/>
              </w:rPr>
            </w:pPr>
            <w:r w:rsidDel="00000000" w:rsidR="00000000" w:rsidRPr="00000000">
              <w:rPr>
                <w:rtl w:val="0"/>
              </w:rPr>
            </w:r>
          </w:p>
        </w:tc>
        <w:tc>
          <w:tcPr/>
          <w:p w:rsidR="00000000" w:rsidDel="00000000" w:rsidP="00000000" w:rsidRDefault="00000000" w:rsidRPr="00000000" w14:paraId="0000003A">
            <w:pPr>
              <w:spacing w:line="240" w:lineRule="auto"/>
              <w:jc w:val="both"/>
              <w:rPr>
                <w:rFonts w:ascii="Calibri" w:cs="Calibri" w:eastAsia="Calibri" w:hAnsi="Calibri"/>
                <w:b w:val="1"/>
                <w:color w:val="ff0000"/>
                <w:sz w:val="24"/>
                <w:szCs w:val="24"/>
              </w:rPr>
            </w:pPr>
            <w:r w:rsidDel="00000000" w:rsidR="00000000" w:rsidRPr="00000000">
              <w:rPr>
                <w:rtl w:val="0"/>
              </w:rPr>
            </w:r>
          </w:p>
        </w:tc>
      </w:tr>
    </w:tbl>
    <w:p w:rsidR="00000000" w:rsidDel="00000000" w:rsidP="00000000" w:rsidRDefault="00000000" w:rsidRPr="00000000" w14:paraId="0000003B">
      <w:pPr>
        <w:jc w:val="both"/>
        <w:rPr>
          <w:color w:val="222222"/>
          <w:sz w:val="20"/>
          <w:szCs w:val="20"/>
          <w:highlight w:val="white"/>
        </w:rPr>
      </w:pPr>
      <w:r w:rsidDel="00000000" w:rsidR="00000000" w:rsidRPr="00000000">
        <w:rPr>
          <w:rtl w:val="0"/>
        </w:rPr>
      </w:r>
    </w:p>
    <w:sectPr>
      <w:headerReference r:id="rId9" w:type="default"/>
      <w:headerReference r:id="rId10" w:type="first"/>
      <w:footerReference r:id="rId11" w:type="default"/>
      <w:pgSz w:h="15840" w:w="12240" w:orient="portrait"/>
      <w:pgMar w:bottom="720" w:top="863"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ti Konda" w:id="0" w:date="2024-01-09T04:16:2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Domains will be fixed after Dean's confirmation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p w:rsidR="00000000" w:rsidDel="00000000" w:rsidP="00000000" w:rsidRDefault="00000000" w:rsidRPr="00000000" w14:paraId="0000004E">
    <w:pPr>
      <w:ind w:right="-390"/>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ind w:right="-390"/>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432.0" w:type="dxa"/>
      <w:jc w:val="center"/>
      <w:tblBorders>
        <w:top w:color="000000" w:space="0" w:sz="8" w:val="single"/>
        <w:left w:color="000000" w:space="0" w:sz="8" w:val="single"/>
        <w:bottom w:color="000000" w:space="0" w:sz="4" w:val="single"/>
        <w:right w:color="000000" w:space="0" w:sz="8" w:val="single"/>
        <w:insideH w:color="000000" w:space="0" w:sz="8" w:val="single"/>
        <w:insideV w:color="000000" w:space="0" w:sz="8" w:val="single"/>
      </w:tblBorders>
      <w:tblLayout w:type="fixed"/>
      <w:tblLook w:val="0600"/>
    </w:tblPr>
    <w:tblGrid>
      <w:gridCol w:w="4243"/>
      <w:gridCol w:w="1843"/>
      <w:gridCol w:w="4346"/>
      <w:tblGridChange w:id="0">
        <w:tblGrid>
          <w:gridCol w:w="4243"/>
          <w:gridCol w:w="1843"/>
          <w:gridCol w:w="4346"/>
        </w:tblGrid>
      </w:tblGridChange>
    </w:tblGrid>
    <w:tr>
      <w:trPr>
        <w:cantSplit w:val="0"/>
        <w:trHeight w:val="2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b w:val="1"/>
            </w:rPr>
          </w:pPr>
          <w:r w:rsidDel="00000000" w:rsidR="00000000" w:rsidRPr="00000000">
            <w:rPr>
              <w:b w:val="1"/>
            </w:rPr>
            <w:drawing>
              <wp:inline distB="0" distT="0" distL="0" distR="0">
                <wp:extent cx="1905000" cy="9334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rPr>
              <w:rFonts w:ascii="Roboto" w:cs="Roboto" w:eastAsia="Roboto" w:hAnsi="Roboto"/>
              <w:b w:val="1"/>
              <w:highlight w:val="whit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School of Computer Science &amp; Engineering</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Program</w:t>
          </w:r>
        </w:p>
      </w:tc>
      <w:tc>
        <w:tcPr>
          <w:shd w:fill="auto" w:val="clear"/>
        </w:tcPr>
        <w:p w:rsidR="00000000" w:rsidDel="00000000" w:rsidP="00000000" w:rsidRDefault="00000000" w:rsidRPr="00000000" w14:paraId="00000043">
          <w:pPr>
            <w:widowControl w:val="0"/>
            <w:spacing w:line="240" w:lineRule="auto"/>
            <w:rPr>
              <w:rFonts w:ascii="Roboto" w:cs="Roboto" w:eastAsia="Roboto" w:hAnsi="Roboto"/>
              <w:b w:val="1"/>
            </w:rPr>
          </w:pPr>
          <w:r w:rsidDel="00000000" w:rsidR="00000000" w:rsidRPr="00000000">
            <w:rPr>
              <w:rFonts w:ascii="Roboto" w:cs="Roboto" w:eastAsia="Roboto" w:hAnsi="Roboto"/>
              <w:b w:val="1"/>
              <w:color w:val="ff0000"/>
              <w:highlight w:val="white"/>
              <w:rtl w:val="0"/>
            </w:rPr>
            <w:t xml:space="preserve">B.Sc (H)</w:t>
          </w: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white"/>
              <w:rtl w:val="0"/>
            </w:rPr>
            <w:t xml:space="preserve">Academic Year</w:t>
          </w:r>
          <w:r w:rsidDel="00000000" w:rsidR="00000000" w:rsidRPr="00000000">
            <w:rPr>
              <w:rtl w:val="0"/>
            </w:rPr>
          </w:r>
        </w:p>
      </w:tc>
      <w:tc>
        <w:tcPr>
          <w:shd w:fill="auto" w:val="clear"/>
        </w:tcPr>
        <w:p w:rsidR="00000000" w:rsidDel="00000000" w:rsidP="00000000" w:rsidRDefault="00000000" w:rsidRPr="00000000" w14:paraId="00000046">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white"/>
              <w:rtl w:val="0"/>
            </w:rPr>
            <w:t xml:space="preserve">2023 – 24</w:t>
          </w: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Academic Term</w:t>
          </w:r>
        </w:p>
      </w:tc>
      <w:tc>
        <w:tcPr>
          <w:shd w:fill="auto" w:val="clear"/>
        </w:tcPr>
        <w:p w:rsidR="00000000" w:rsidDel="00000000" w:rsidP="00000000" w:rsidRDefault="00000000" w:rsidRPr="00000000" w14:paraId="00000049">
          <w:pPr>
            <w:widowControl w:val="0"/>
            <w:spacing w:line="240" w:lineRule="auto"/>
            <w:rPr>
              <w:rFonts w:ascii="Roboto" w:cs="Roboto" w:eastAsia="Roboto" w:hAnsi="Roboto"/>
              <w:b w:val="1"/>
            </w:rPr>
          </w:pPr>
          <w:r w:rsidDel="00000000" w:rsidR="00000000" w:rsidRPr="00000000">
            <w:rPr>
              <w:rFonts w:ascii="Roboto" w:cs="Roboto" w:eastAsia="Roboto" w:hAnsi="Roboto"/>
              <w:b w:val="1"/>
              <w:color w:val="ff0000"/>
              <w:rtl w:val="0"/>
            </w:rPr>
            <w:t xml:space="preserve">Mar – May 2024 (7 weeks of teaching) </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18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color w:val="00000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7x1j9/NLplj7H8eJ0KkIVyw5Lw==">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