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就業規則（在宅勤務規程）</w:t>
      </w:r>
    </w:p>
    <w:p>
      <w:r>
        <w:t xml:space="preserve">第1条 目的</w:t>
      </w:r>
    </w:p>
    <w:p>
      <w:r>
        <w:t xml:space="preserve">本規程は、従業員が在宅勤務を行う場合の取扱いを定めるものとする。</w:t>
      </w:r>
    </w:p>
    <w:p>
      <w:r>
        <w:t xml:space="preserve">適用対象は正社員とする。</w:t>
      </w:r>
    </w:p>
    <w:p>
      <w:r>
        <w:t xml:space="preserve">第2条 対象者</w:t>
      </w:r>
    </w:p>
    <w:p>
      <w:r>
        <w:t xml:space="preserve">入社後6か月の試用期間を終了した従業員は、在宅勤務を申請することができる。</w:t>
      </w:r>
    </w:p>
    <w:p>
      <w:r>
        <w:t xml:space="preserve">第3条 勤務時間</w:t>
      </w:r>
    </w:p>
    <w:p>
      <w:r>
        <w:t xml:space="preserve">在宅勤務者は、コアタイムである10時から15時までの間、連絡が取れる状態であることとする。</w:t>
      </w:r>
    </w:p>
    <w:p>
      <w:r>
        <w:t xml:space="preserve">第4条 費用負担</w:t>
      </w:r>
    </w:p>
    <w:p>
      <w:r>
        <w:t xml:space="preserve">会社は在宅勤務者に対しノートパソコンを貸与する。通信費は従業員の負担とする。</w:t>
      </w:r>
    </w:p>
    <w:p>
      <w:r>
        <w:t xml:space="preserve">第5条 解除</w:t>
      </w:r>
    </w:p>
    <w:p>
      <w:r>
        <w:t xml:space="preserve">会社は、必要と認めた場合、在宅勤務をいつでも解除することができる。</w:t>
      </w:r>
    </w:p>
  </w:body>
</w:document>
</file>