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CÔNG CÔNG VIỆC NHÓM 06</w:t>
        <w:br/>
        <w:t>BÁO CÁO BÀI TẬP LỚN – CHỦ ĐỀ 5</w:t>
      </w:r>
    </w:p>
    <w:p>
      <w:pPr>
        <w:jc w:val="center"/>
      </w:pPr>
      <w:r>
        <w:rPr>
          <w:b/>
          <w:sz w:val="22"/>
        </w:rPr>
        <w:t>Quy trình End-to-end kiểm chứng an toàn chương trình nhập điểm đồ án tốt nghiệp</w:t>
      </w:r>
    </w:p>
    <w:p>
      <w:r>
        <w:t>Tài liệu phân công dựa trên các phần 1–8 và các mục 2.1–8.6 của bản báo cáo “ATPM5_BaoCao_ChiTiet_TheoMau.docx”. Không thay đổi nội dung đề tài, không phân công tích hợp trực tiếp vào website khi chưa cần thiết.</w:t>
      </w:r>
    </w:p>
    <w:p>
      <w:pPr>
        <w:pStyle w:val="Heading1"/>
      </w:pPr>
      <w:r>
        <w:t>1. Nguyên tắc phân công</w:t>
      </w:r>
    </w:p>
    <w:p>
      <w:r>
        <w:t>Mỗi phần báo cáo có một người chịu trách nhiệm chính; các số liệu kiểm thử phải xuất phát từ mã nguồn và log thật. Ngô Nhật Quang phụ trách kỹ thuật (code và kiểm thử), còn hai thành viên còn lại chủ trì phần mô tả, mô hình và biên tập báo cáo.</w:t>
      </w:r>
    </w:p>
    <w:p>
      <w:pPr>
        <w:pStyle w:val="Heading1"/>
      </w:pPr>
      <w:r>
        <w:t>2. Bảng phân chia các phần/chương trong báo cáo</w:t>
      </w:r>
    </w:p>
    <w:tbl>
      <w:tblPr>
        <w:tblStyle w:val="TableGrid"/>
        <w:tblW w:type="auto" w:w="0"/>
        <w:jc w:val="center"/>
        <w:tblLayout w:type="fixed"/>
        <w:tblLook w:firstColumn="1" w:firstRow="1" w:lastColumn="0" w:lastRow="0" w:noHBand="0" w:noVBand="1" w:val="04A0"/>
      </w:tblPr>
      <w:tblGrid>
        <w:gridCol w:w="3241"/>
        <w:gridCol w:w="3241"/>
        <w:gridCol w:w="3241"/>
      </w:tblGrid>
      <w:tr>
        <w:tc>
          <w:tcPr>
            <w:tcW w:type="dxa" w:w="2268"/>
            <w:shd w:fill="DEEAF2"/>
          </w:tcPr>
          <w:p>
            <w:r>
              <w:rPr>
                <w:b/>
                <w:color w:val="13405D"/>
                <w:sz w:val="18"/>
              </w:rPr>
              <w:t>Phần trong báo cáo</w:t>
            </w:r>
          </w:p>
        </w:tc>
        <w:tc>
          <w:tcPr>
            <w:tcW w:type="dxa" w:w="2268"/>
            <w:shd w:fill="DEEAF2"/>
          </w:tcPr>
          <w:p>
            <w:r>
              <w:rPr>
                <w:b/>
                <w:color w:val="13405D"/>
                <w:sz w:val="18"/>
              </w:rPr>
              <w:t>Phụ trách chính</w:t>
            </w:r>
          </w:p>
        </w:tc>
        <w:tc>
          <w:tcPr>
            <w:tcW w:type="dxa" w:w="5102"/>
            <w:shd w:fill="DEEAF2"/>
          </w:tcPr>
          <w:p>
            <w:r>
              <w:rPr>
                <w:b/>
                <w:color w:val="13405D"/>
                <w:sz w:val="18"/>
              </w:rPr>
              <w:t>Phần việc cụ thể</w:t>
            </w:r>
          </w:p>
        </w:tc>
      </w:tr>
      <w:tr>
        <w:tc>
          <w:tcPr>
            <w:tcW w:type="dxa" w:w="2268"/>
            <w:vAlign w:val="center"/>
          </w:tcPr>
          <w:p>
            <w:pPr>
              <w:spacing w:after="40" w:line="254" w:lineRule="auto"/>
            </w:pPr>
            <w:r>
              <w:rPr>
                <w:sz w:val="18"/>
              </w:rPr>
              <w:t>1. Trang bìa và mục lục</w:t>
            </w:r>
          </w:p>
        </w:tc>
        <w:tc>
          <w:tcPr>
            <w:tcW w:type="dxa" w:w="2268"/>
            <w:vAlign w:val="center"/>
          </w:tcPr>
          <w:p>
            <w:pPr>
              <w:spacing w:after="40" w:line="254" w:lineRule="auto"/>
            </w:pPr>
            <w:r>
              <w:rPr>
                <w:sz w:val="18"/>
              </w:rPr>
              <w:t>Đồng Đại Đạt</w:t>
            </w:r>
          </w:p>
        </w:tc>
        <w:tc>
          <w:tcPr>
            <w:tcW w:type="dxa" w:w="5102"/>
            <w:vAlign w:val="center"/>
          </w:tcPr>
          <w:p>
            <w:pPr>
              <w:spacing w:after="40" w:line="254" w:lineRule="auto"/>
            </w:pPr>
            <w:r>
              <w:rPr>
                <w:sz w:val="18"/>
              </w:rPr>
              <w:t>Thành viên, tên đề tài, định dạng, mục lục và đánh số trang.</w:t>
            </w:r>
          </w:p>
        </w:tc>
      </w:tr>
      <w:tr>
        <w:tc>
          <w:tcPr>
            <w:tcW w:type="dxa" w:w="2268"/>
            <w:vAlign w:val="center"/>
            <w:shd w:fill="F7FAFC"/>
          </w:tcPr>
          <w:p>
            <w:pPr>
              <w:spacing w:after="40" w:line="254" w:lineRule="auto"/>
            </w:pPr>
            <w:r>
              <w:rPr>
                <w:sz w:val="18"/>
              </w:rPr>
              <w:t>2. Tổng quan đề tài (2.1–2.4)</w:t>
            </w:r>
          </w:p>
        </w:tc>
        <w:tc>
          <w:tcPr>
            <w:tcW w:type="dxa" w:w="2268"/>
            <w:vAlign w:val="center"/>
            <w:shd w:fill="F7FAFC"/>
          </w:tcPr>
          <w:p>
            <w:pPr>
              <w:spacing w:after="40" w:line="254" w:lineRule="auto"/>
            </w:pPr>
            <w:r>
              <w:rPr>
                <w:sz w:val="18"/>
              </w:rPr>
              <w:t>Nguyễn Cao Hải</w:t>
            </w:r>
          </w:p>
        </w:tc>
        <w:tc>
          <w:tcPr>
            <w:tcW w:type="dxa" w:w="5102"/>
            <w:vAlign w:val="center"/>
            <w:shd w:fill="F7FAFC"/>
          </w:tcPr>
          <w:p>
            <w:pPr>
              <w:spacing w:after="40" w:line="254" w:lineRule="auto"/>
            </w:pPr>
            <w:r>
              <w:rPr>
                <w:sz w:val="18"/>
              </w:rPr>
              <w:t>Bối cảnh, đầu vào CSV/đầu ra, kiến trúc parser, mục tiêu và phạm vi.</w:t>
            </w:r>
          </w:p>
        </w:tc>
      </w:tr>
      <w:tr>
        <w:tc>
          <w:tcPr>
            <w:tcW w:type="dxa" w:w="2268"/>
            <w:vAlign w:val="center"/>
          </w:tcPr>
          <w:p>
            <w:pPr>
              <w:spacing w:after="40" w:line="254" w:lineRule="auto"/>
            </w:pPr>
            <w:r>
              <w:rPr>
                <w:sz w:val="18"/>
              </w:rPr>
              <w:t>3. Phương pháp luận (3.1–3.4)</w:t>
            </w:r>
          </w:p>
        </w:tc>
        <w:tc>
          <w:tcPr>
            <w:tcW w:type="dxa" w:w="2268"/>
            <w:vAlign w:val="center"/>
          </w:tcPr>
          <w:p>
            <w:pPr>
              <w:spacing w:after="40" w:line="254" w:lineRule="auto"/>
            </w:pPr>
            <w:r>
              <w:rPr>
                <w:sz w:val="18"/>
              </w:rPr>
              <w:t>Hải (3.1, 3.4); Quang (3.2, 3.3)</w:t>
            </w:r>
          </w:p>
        </w:tc>
        <w:tc>
          <w:tcPr>
            <w:tcW w:type="dxa" w:w="5102"/>
            <w:vAlign w:val="center"/>
          </w:tcPr>
          <w:p>
            <w:pPr>
              <w:spacing w:after="40" w:line="254" w:lineRule="auto"/>
            </w:pPr>
            <w:r>
              <w:rPr>
                <w:sz w:val="18"/>
              </w:rPr>
              <w:t>Hải viết logic quy trình; Quang ghi đúng cách sinh mã, biên dịch, tạo input và thu log.</w:t>
            </w:r>
          </w:p>
        </w:tc>
      </w:tr>
      <w:tr>
        <w:tc>
          <w:tcPr>
            <w:tcW w:type="dxa" w:w="2268"/>
            <w:vAlign w:val="center"/>
            <w:shd w:fill="F7FAFC"/>
          </w:tcPr>
          <w:p>
            <w:pPr>
              <w:spacing w:after="40" w:line="254" w:lineRule="auto"/>
            </w:pPr>
            <w:r>
              <w:rPr>
                <w:sz w:val="18"/>
              </w:rPr>
              <w:t>4. Phân tích lỗ hổng và bản vá (4.1–4.4)</w:t>
            </w:r>
          </w:p>
        </w:tc>
        <w:tc>
          <w:tcPr>
            <w:tcW w:type="dxa" w:w="2268"/>
            <w:vAlign w:val="center"/>
            <w:shd w:fill="F7FAFC"/>
          </w:tcPr>
          <w:p>
            <w:pPr>
              <w:spacing w:after="40" w:line="254" w:lineRule="auto"/>
            </w:pPr>
            <w:r>
              <w:rPr>
                <w:sz w:val="18"/>
              </w:rPr>
              <w:t>Ngô Nhật Quang</w:t>
            </w:r>
          </w:p>
        </w:tc>
        <w:tc>
          <w:tcPr>
            <w:tcW w:type="dxa" w:w="5102"/>
            <w:vAlign w:val="center"/>
            <w:shd w:fill="F7FAFC"/>
          </w:tcPr>
          <w:p>
            <w:pPr>
              <w:spacing w:after="40" w:line="254" w:lineRule="auto"/>
            </w:pPr>
            <w:r>
              <w:rPr>
                <w:sz w:val="18"/>
              </w:rPr>
              <w:t>CWE-120, CWE-787, CWE-401, CWE-190; nguyên nhân, mã v0/v1 và minh chứng.</w:t>
            </w:r>
          </w:p>
        </w:tc>
      </w:tr>
      <w:tr>
        <w:tc>
          <w:tcPr>
            <w:tcW w:type="dxa" w:w="2268"/>
            <w:vAlign w:val="center"/>
          </w:tcPr>
          <w:p>
            <w:pPr>
              <w:spacing w:after="40" w:line="254" w:lineRule="auto"/>
            </w:pPr>
            <w:r>
              <w:rPr>
                <w:sz w:val="18"/>
              </w:rPr>
              <w:t>5. Bảng before/after</w:t>
            </w:r>
          </w:p>
        </w:tc>
        <w:tc>
          <w:tcPr>
            <w:tcW w:type="dxa" w:w="2268"/>
            <w:vAlign w:val="center"/>
          </w:tcPr>
          <w:p>
            <w:pPr>
              <w:spacing w:after="40" w:line="254" w:lineRule="auto"/>
            </w:pPr>
            <w:r>
              <w:rPr>
                <w:sz w:val="18"/>
              </w:rPr>
              <w:t>Đồng Đại Đạt</w:t>
            </w:r>
          </w:p>
        </w:tc>
        <w:tc>
          <w:tcPr>
            <w:tcW w:type="dxa" w:w="5102"/>
            <w:vAlign w:val="center"/>
          </w:tcPr>
          <w:p>
            <w:pPr>
              <w:spacing w:after="40" w:line="254" w:lineRule="auto"/>
            </w:pPr>
            <w:r>
              <w:rPr>
                <w:sz w:val="18"/>
              </w:rPr>
              <w:t>Tổng hợp trạng thái v0/v1 và công cụ xác minh, theo log do Quang cung cấp.</w:t>
            </w:r>
          </w:p>
        </w:tc>
      </w:tr>
      <w:tr>
        <w:tc>
          <w:tcPr>
            <w:tcW w:type="dxa" w:w="2268"/>
            <w:vAlign w:val="center"/>
            <w:shd w:fill="F7FAFC"/>
          </w:tcPr>
          <w:p>
            <w:pPr>
              <w:spacing w:after="40" w:line="254" w:lineRule="auto"/>
            </w:pPr>
            <w:r>
              <w:rPr>
                <w:sz w:val="18"/>
              </w:rPr>
              <w:t>6. Bằng chứng (6.1–6.4)</w:t>
            </w:r>
          </w:p>
        </w:tc>
        <w:tc>
          <w:tcPr>
            <w:tcW w:type="dxa" w:w="2268"/>
            <w:vAlign w:val="center"/>
            <w:shd w:fill="F7FAFC"/>
          </w:tcPr>
          <w:p>
            <w:pPr>
              <w:spacing w:after="40" w:line="254" w:lineRule="auto"/>
            </w:pPr>
            <w:r>
              <w:rPr>
                <w:sz w:val="18"/>
              </w:rPr>
              <w:t>Hải (6.1); Quang (6.2–6.3); Đạt (6.4)</w:t>
            </w:r>
          </w:p>
        </w:tc>
        <w:tc>
          <w:tcPr>
            <w:tcW w:type="dxa" w:w="5102"/>
            <w:vAlign w:val="center"/>
            <w:shd w:fill="F7FAFC"/>
          </w:tcPr>
          <w:p>
            <w:pPr>
              <w:spacing w:after="40" w:line="254" w:lineRule="auto"/>
            </w:pPr>
            <w:r>
              <w:rPr>
                <w:sz w:val="18"/>
              </w:rPr>
              <w:t>Kripke/BMC; SMT/Z3, fuzzing, coverage; bảng truy vết yêu cầu–kết quả.</w:t>
            </w:r>
          </w:p>
        </w:tc>
      </w:tr>
      <w:tr>
        <w:tc>
          <w:tcPr>
            <w:tcW w:type="dxa" w:w="2268"/>
            <w:vAlign w:val="center"/>
          </w:tcPr>
          <w:p>
            <w:pPr>
              <w:spacing w:after="40" w:line="254" w:lineRule="auto"/>
            </w:pPr>
            <w:r>
              <w:rPr>
                <w:sz w:val="18"/>
              </w:rPr>
              <w:t>7. Phản biện &amp; bài học (7.1–7.4)</w:t>
            </w:r>
          </w:p>
        </w:tc>
        <w:tc>
          <w:tcPr>
            <w:tcW w:type="dxa" w:w="2268"/>
            <w:vAlign w:val="center"/>
          </w:tcPr>
          <w:p>
            <w:pPr>
              <w:spacing w:after="40" w:line="254" w:lineRule="auto"/>
            </w:pPr>
            <w:r>
              <w:rPr>
                <w:sz w:val="18"/>
              </w:rPr>
              <w:t>Đồng Đại Đạt</w:t>
            </w:r>
          </w:p>
        </w:tc>
        <w:tc>
          <w:tcPr>
            <w:tcW w:type="dxa" w:w="5102"/>
            <w:vAlign w:val="center"/>
          </w:tcPr>
          <w:p>
            <w:pPr>
              <w:spacing w:after="40" w:line="254" w:lineRule="auto"/>
            </w:pPr>
            <w:r>
              <w:rPr>
                <w:sz w:val="18"/>
              </w:rPr>
              <w:t>Hạn chế, bài học và hướng cải tiến; lấy ý kiến kỹ thuật từ Quang, mô hình từ Hải.</w:t>
            </w:r>
          </w:p>
        </w:tc>
      </w:tr>
      <w:tr>
        <w:tc>
          <w:tcPr>
            <w:tcW w:type="dxa" w:w="2268"/>
            <w:vAlign w:val="center"/>
            <w:shd w:fill="F7FAFC"/>
          </w:tcPr>
          <w:p>
            <w:pPr>
              <w:spacing w:after="40" w:line="254" w:lineRule="auto"/>
            </w:pPr>
            <w:r>
              <w:rPr>
                <w:sz w:val="18"/>
              </w:rPr>
              <w:t>8. Phụ lục (8.1–8.6)</w:t>
            </w:r>
          </w:p>
        </w:tc>
        <w:tc>
          <w:tcPr>
            <w:tcW w:type="dxa" w:w="2268"/>
            <w:vAlign w:val="center"/>
            <w:shd w:fill="F7FAFC"/>
          </w:tcPr>
          <w:p>
            <w:pPr>
              <w:spacing w:after="40" w:line="254" w:lineRule="auto"/>
            </w:pPr>
            <w:r>
              <w:rPr>
                <w:sz w:val="18"/>
              </w:rPr>
              <w:t>Đạt chủ trì; Hải (8.3); Quang (8.2, 8.4)</w:t>
            </w:r>
          </w:p>
        </w:tc>
        <w:tc>
          <w:tcPr>
            <w:tcW w:type="dxa" w:w="5102"/>
            <w:vAlign w:val="center"/>
            <w:shd w:fill="F7FAFC"/>
          </w:tcPr>
          <w:p>
            <w:pPr>
              <w:spacing w:after="40" w:line="254" w:lineRule="auto"/>
            </w:pPr>
            <w:r>
              <w:rPr>
                <w:sz w:val="18"/>
              </w:rPr>
              <w:t>Đạt tổng hợp nguồn, phân công; Hải chuẩn bị TikZ; Quang kiểm tra lệnh build và log.</w:t>
            </w:r>
          </w:p>
        </w:tc>
      </w:tr>
    </w:tbl>
    <w:p/>
    <w:p>
      <w:pPr>
        <w:pStyle w:val="Heading1"/>
      </w:pPr>
      <w:r>
        <w:t>3. Chi tiết theo thành viên</w:t>
      </w:r>
    </w:p>
    <w:p>
      <w:pPr>
        <w:pStyle w:val="Heading2"/>
      </w:pPr>
      <w:r>
        <w:t>3.1. Nguyễn Cao Hải – Đặc tả, mô hình và lý thuyết</w:t>
      </w:r>
    </w:p>
    <w:p>
      <w:pPr>
        <w:pStyle w:val="ListBullet"/>
        <w:spacing w:after="40" w:line="259" w:lineRule="auto"/>
      </w:pPr>
      <w:r>
        <w:t>Viết Phần 2 (2.1–2.4): lý do chọn bài toán CSV, 6 trường dữ liệu, giới hạn đầu vào, bề mặt tấn công và phạm vi độc lập của chương trình C.</w:t>
      </w:r>
    </w:p>
    <w:p>
      <w:pPr>
        <w:pStyle w:val="ListBullet"/>
        <w:spacing w:after="40" w:line="259" w:lineRule="auto"/>
      </w:pPr>
      <w:r>
        <w:t>Viết mục 3.1 và 3.4: giải thích vì sao cùng một chương trình C đi qua bốn chương và sự liên hệ giữa các kỹ thuật.</w:t>
      </w:r>
    </w:p>
    <w:p>
      <w:pPr>
        <w:pStyle w:val="ListBullet"/>
        <w:spacing w:after="40" w:line="259" w:lineRule="auto"/>
      </w:pPr>
      <w:r>
        <w:t>Viết mục 6.1: trình bày trạng thái Kripke, thuộc tính CTL/BMC và cách hiểu phản ví dụ v0, phạm vi kiểm tra v1. Phối hợp Quang để nhận log kiểm chứng.</w:t>
      </w:r>
    </w:p>
    <w:p>
      <w:pPr>
        <w:pStyle w:val="ListBullet"/>
        <w:spacing w:after="40" w:line="259" w:lineRule="auto"/>
      </w:pPr>
      <w:r>
        <w:t>Phụ trách mục 8.3: mã TikZ, sơ đồ trạng thái, lời giải thích chuyển trạng thái. Rà soát nội dung mô hình với bảng Excel đặc tả.</w:t>
      </w:r>
    </w:p>
    <w:p>
      <w:r>
        <w:rPr>
          <w:b/>
        </w:rPr>
        <w:t>Bàn giao:</w:t>
      </w:r>
      <w:r>
        <w:t xml:space="preserve"> nội dung Phần 2, các mục 3.1, 3.4, 6.1, 8.3; sơ đồ TikZ/PNG; ghi chú giải thích mô hình.</w:t>
      </w:r>
    </w:p>
    <w:p>
      <w:pPr>
        <w:pStyle w:val="Heading2"/>
      </w:pPr>
      <w:r>
        <w:t>3.2. Ngô Nhật Quang – Mã nguồn và kiểm thử (phụ trách kỹ thuật)</w:t>
      </w:r>
    </w:p>
    <w:p>
      <w:pPr>
        <w:pStyle w:val="ListBullet"/>
        <w:spacing w:after="40" w:line="259" w:lineRule="auto"/>
      </w:pPr>
      <w:r>
        <w:t>Quản lý mã C thesis_grade_parser_v0.c và thesis_grade_parser_v1.c; giải thích thay đổi trong các hàm và bảo đảm có thể build lại.</w:t>
      </w:r>
    </w:p>
    <w:p>
      <w:pPr>
        <w:pStyle w:val="ListBullet"/>
        <w:spacing w:after="40" w:line="259" w:lineRule="auto"/>
      </w:pPr>
      <w:r>
        <w:t>Chạy hoặc chạy lại script: sinh cấu hình, biên dịch, pattern scanner, ASan/UBSan, kiểm tra Z3, BMC, fuzzing, gcov và regression; giữ log cùng đầu vào tạo ra lỗi.</w:t>
      </w:r>
    </w:p>
    <w:p>
      <w:pPr>
        <w:pStyle w:val="ListBullet"/>
        <w:spacing w:after="40" w:line="259" w:lineRule="auto"/>
      </w:pPr>
      <w:r>
        <w:t>Viết các mục 3.2 và 3.3: phiên bản mã, dữ liệu thử, câu lệnh biên dịch, cờ sanitizer, đường dẫn lưu bằng chứng.</w:t>
      </w:r>
    </w:p>
    <w:p>
      <w:pPr>
        <w:pStyle w:val="ListBullet"/>
        <w:spacing w:after="40" w:line="259" w:lineRule="auto"/>
      </w:pPr>
      <w:r>
        <w:t>Viết Phần 4 (4.1–4.4) cho bốn lỗi: vị trí, nguyên nhân gốc, input tái hiện, mã trước/sau và kết quả kiểm tra lại.</w:t>
      </w:r>
    </w:p>
    <w:p>
      <w:pPr>
        <w:pStyle w:val="ListBullet"/>
        <w:spacing w:after="40" w:line="259" w:lineRule="auto"/>
      </w:pPr>
      <w:r>
        <w:t>Viết mục 6.2, 6.3: SAT/UNSAT của Z3, 300 phép thử fuzzing, 99/100/101 bản ghi, coverage, kết quả hồi quy; không diễn giải quá phạm vi kiểm thử.</w:t>
      </w:r>
    </w:p>
    <w:p>
      <w:pPr>
        <w:pStyle w:val="ListBullet"/>
        <w:spacing w:after="40" w:line="259" w:lineRule="auto"/>
      </w:pPr>
      <w:r>
        <w:t>Cung cấp log/ảnh gốc và lệnh chạy cho Hải (6.1), Đạt (Phần 5, 6.4, 7, 8); rà soát kỹ thuật lần cuối trước nộp.</w:t>
      </w:r>
    </w:p>
    <w:p>
      <w:r>
        <w:rPr>
          <w:b/>
        </w:rPr>
        <w:t>Bàn giao:</w:t>
      </w:r>
      <w:r>
        <w:t xml:space="preserve"> mã nguồn v0/v1, script, test CSV, logs/results, ảnh kiểm thử, nội dung 3.2–3.3, Phần 4, mục 6.2–6.3.</w:t>
      </w:r>
    </w:p>
    <w:p>
      <w:pPr>
        <w:pStyle w:val="Heading2"/>
      </w:pPr>
      <w:r>
        <w:t>3.3. Đồng Đại Đạt – Đối chiếu kết quả, phản biện và hoàn thiện báo cáo</w:t>
      </w:r>
    </w:p>
    <w:p>
      <w:pPr>
        <w:pStyle w:val="ListBullet"/>
        <w:spacing w:after="40" w:line="259" w:lineRule="auto"/>
      </w:pPr>
      <w:r>
        <w:t>Chuẩn bị trang bìa, mục lục, thống nhất cách viết, hình/bảng, nguồn trích và đánh số trang.</w:t>
      </w:r>
    </w:p>
    <w:p>
      <w:pPr>
        <w:pStyle w:val="ListBullet"/>
        <w:spacing w:after="40" w:line="259" w:lineRule="auto"/>
      </w:pPr>
      <w:r>
        <w:t>Viết Phần 5: bảng before/after theo từng lỗi CWE-120, CWE-787, CWE-401, CWE-190, dùng kết quả v0/v1 có log làm căn cứ.</w:t>
      </w:r>
    </w:p>
    <w:p>
      <w:pPr>
        <w:pStyle w:val="ListBullet"/>
        <w:spacing w:after="40" w:line="259" w:lineRule="auto"/>
      </w:pPr>
      <w:r>
        <w:t>Viết mục 6.4: nối mã yêu cầu ↔ test case ↔ công cụ ↔ log/ảnh; kiểm tra mô tả kết quả có khớp số liệu từ Quang.</w:t>
      </w:r>
    </w:p>
    <w:p>
      <w:pPr>
        <w:pStyle w:val="ListBullet"/>
        <w:spacing w:after="40" w:line="259" w:lineRule="auto"/>
      </w:pPr>
      <w:r>
        <w:t>Viết Phần 7 (7.1–7.4): điểm còn hạn chế của mô hình, bộ nhớ, SMT/BMC và fuzzing; tổng hợp ý kiến Hải và Quang.</w:t>
      </w:r>
    </w:p>
    <w:p>
      <w:pPr>
        <w:pStyle w:val="ListBullet"/>
        <w:spacing w:after="40" w:line="259" w:lineRule="auto"/>
      </w:pPr>
      <w:r>
        <w:t>Chủ trì Phần 8: cấu trúc hồ sơ, mô tả các tệp log, phân công, tài liệu tham khảo; phối hợp Hải cho 8.3 và Quang cho 8.2/8.4.</w:t>
      </w:r>
    </w:p>
    <w:p>
      <w:pPr>
        <w:pStyle w:val="ListBullet"/>
        <w:spacing w:after="40" w:line="259" w:lineRule="auto"/>
      </w:pPr>
      <w:r>
        <w:t>Tổng hợp bản DOCX cuối, rà chính tả/bảng/hình, xuất PDF, kiểm tra đủ trang và không thiếu minh chứng.</w:t>
      </w:r>
    </w:p>
    <w:p>
      <w:r>
        <w:rPr>
          <w:b/>
        </w:rPr>
        <w:t>Bàn giao:</w:t>
      </w:r>
      <w:r>
        <w:t xml:space="preserve"> Phần 1, 5, 7; mục 6.4; phụ lục tổng hợp; bản DOCX/PDF cuối cùng.</w:t>
      </w:r>
    </w:p>
    <w:p>
      <w:pPr>
        <w:pStyle w:val="Heading1"/>
      </w:pPr>
      <w:r>
        <w:t>4. Liên kết 4 chương chuyên môn với người phụ trách</w:t>
      </w:r>
    </w:p>
    <w:tbl>
      <w:tblPr>
        <w:tblStyle w:val="TableGrid"/>
        <w:tblW w:type="auto" w:w="0"/>
        <w:jc w:val="center"/>
        <w:tblLayout w:type="fixed"/>
        <w:tblLook w:firstColumn="1" w:firstRow="1" w:lastColumn="0" w:lastRow="0" w:noHBand="0" w:noVBand="1" w:val="04A0"/>
      </w:tblPr>
      <w:tblGrid>
        <w:gridCol w:w="2431"/>
        <w:gridCol w:w="2431"/>
        <w:gridCol w:w="2431"/>
        <w:gridCol w:w="2431"/>
      </w:tblGrid>
      <w:tr>
        <w:tc>
          <w:tcPr>
            <w:tcW w:type="dxa" w:w="2381"/>
            <w:shd w:fill="DEEAF2"/>
          </w:tcPr>
          <w:p>
            <w:r>
              <w:rPr>
                <w:b/>
                <w:color w:val="13405D"/>
                <w:sz w:val="18"/>
              </w:rPr>
              <w:t>Chương kỹ thuật</w:t>
            </w:r>
          </w:p>
        </w:tc>
        <w:tc>
          <w:tcPr>
            <w:tcW w:type="dxa" w:w="1984"/>
            <w:shd w:fill="DEEAF2"/>
          </w:tcPr>
          <w:p>
            <w:r>
              <w:rPr>
                <w:b/>
                <w:color w:val="13405D"/>
                <w:sz w:val="18"/>
              </w:rPr>
              <w:t>Người phụ trách nội dung</w:t>
            </w:r>
          </w:p>
        </w:tc>
        <w:tc>
          <w:tcPr>
            <w:tcW w:type="dxa" w:w="1757"/>
            <w:shd w:fill="DEEAF2"/>
          </w:tcPr>
          <w:p>
            <w:r>
              <w:rPr>
                <w:b/>
                <w:color w:val="13405D"/>
                <w:sz w:val="18"/>
              </w:rPr>
              <w:t>Người cung cấp mã/log</w:t>
            </w:r>
          </w:p>
        </w:tc>
        <w:tc>
          <w:tcPr>
            <w:tcW w:type="dxa" w:w="3515"/>
            <w:shd w:fill="DEEAF2"/>
          </w:tcPr>
          <w:p>
            <w:r>
              <w:rPr>
                <w:b/>
                <w:color w:val="13405D"/>
                <w:sz w:val="18"/>
              </w:rPr>
              <w:t>Minh chứng liên quan</w:t>
            </w:r>
          </w:p>
        </w:tc>
      </w:tr>
      <w:tr>
        <w:tc>
          <w:tcPr>
            <w:tcW w:type="dxa" w:w="2381"/>
            <w:vAlign w:val="center"/>
          </w:tcPr>
          <w:p>
            <w:pPr>
              <w:spacing w:after="40" w:line="254" w:lineRule="auto"/>
            </w:pPr>
            <w:r>
              <w:rPr>
                <w:sz w:val="18"/>
              </w:rPr>
              <w:t>Chương 1 – Kripke/CTL/BMC</w:t>
            </w:r>
          </w:p>
        </w:tc>
        <w:tc>
          <w:tcPr>
            <w:tcW w:type="dxa" w:w="1984"/>
            <w:vAlign w:val="center"/>
          </w:tcPr>
          <w:p>
            <w:pPr>
              <w:spacing w:after="40" w:line="254" w:lineRule="auto"/>
            </w:pPr>
            <w:r>
              <w:rPr>
                <w:sz w:val="18"/>
              </w:rPr>
              <w:t>Nguyễn Cao Hải</w:t>
            </w:r>
          </w:p>
        </w:tc>
        <w:tc>
          <w:tcPr>
            <w:tcW w:type="dxa" w:w="1757"/>
            <w:vAlign w:val="center"/>
          </w:tcPr>
          <w:p>
            <w:pPr>
              <w:spacing w:after="40" w:line="254" w:lineRule="auto"/>
            </w:pPr>
            <w:r>
              <w:rPr>
                <w:sz w:val="18"/>
              </w:rPr>
              <w:t>Ngô Nhật Quang</w:t>
            </w:r>
          </w:p>
        </w:tc>
        <w:tc>
          <w:tcPr>
            <w:tcW w:type="dxa" w:w="3515"/>
            <w:vAlign w:val="center"/>
          </w:tcPr>
          <w:p>
            <w:pPr>
              <w:spacing w:after="40" w:line="254" w:lineRule="auto"/>
            </w:pPr>
            <w:r>
              <w:rPr>
                <w:sz w:val="18"/>
              </w:rPr>
              <w:t>Ảnh 02; log Kripke/BMC; mã TikZ</w:t>
            </w:r>
          </w:p>
        </w:tc>
      </w:tr>
      <w:tr>
        <w:tc>
          <w:tcPr>
            <w:tcW w:type="dxa" w:w="2381"/>
            <w:vAlign w:val="center"/>
            <w:shd w:fill="F7FAFC"/>
          </w:tcPr>
          <w:p>
            <w:pPr>
              <w:spacing w:after="40" w:line="254" w:lineRule="auto"/>
            </w:pPr>
            <w:r>
              <w:rPr>
                <w:sz w:val="18"/>
              </w:rPr>
              <w:t>Chương 2 – Static &amp; Memory</w:t>
            </w:r>
          </w:p>
        </w:tc>
        <w:tc>
          <w:tcPr>
            <w:tcW w:type="dxa" w:w="1984"/>
            <w:vAlign w:val="center"/>
            <w:shd w:fill="F7FAFC"/>
          </w:tcPr>
          <w:p>
            <w:pPr>
              <w:spacing w:after="40" w:line="254" w:lineRule="auto"/>
            </w:pPr>
            <w:r>
              <w:rPr>
                <w:sz w:val="18"/>
              </w:rPr>
              <w:t>Ngô Nhật Quang</w:t>
            </w:r>
          </w:p>
        </w:tc>
        <w:tc>
          <w:tcPr>
            <w:tcW w:type="dxa" w:w="1757"/>
            <w:vAlign w:val="center"/>
            <w:shd w:fill="F7FAFC"/>
          </w:tcPr>
          <w:p>
            <w:pPr>
              <w:spacing w:after="40" w:line="254" w:lineRule="auto"/>
            </w:pPr>
            <w:r>
              <w:rPr>
                <w:sz w:val="18"/>
              </w:rPr>
              <w:t>Ngô Nhật Quang</w:t>
            </w:r>
          </w:p>
        </w:tc>
        <w:tc>
          <w:tcPr>
            <w:tcW w:type="dxa" w:w="3515"/>
            <w:vAlign w:val="center"/>
            <w:shd w:fill="F7FAFC"/>
          </w:tcPr>
          <w:p>
            <w:pPr>
              <w:spacing w:after="40" w:line="254" w:lineRule="auto"/>
            </w:pPr>
            <w:r>
              <w:rPr>
                <w:sz w:val="18"/>
              </w:rPr>
              <w:t>Ảnh 03–05; log static, ASan/UBSan</w:t>
            </w:r>
          </w:p>
        </w:tc>
      </w:tr>
      <w:tr>
        <w:tc>
          <w:tcPr>
            <w:tcW w:type="dxa" w:w="2381"/>
            <w:vAlign w:val="center"/>
          </w:tcPr>
          <w:p>
            <w:pPr>
              <w:spacing w:after="40" w:line="254" w:lineRule="auto"/>
            </w:pPr>
            <w:r>
              <w:rPr>
                <w:sz w:val="18"/>
              </w:rPr>
              <w:t>Chương 3 – SMT/Z3</w:t>
            </w:r>
          </w:p>
        </w:tc>
        <w:tc>
          <w:tcPr>
            <w:tcW w:type="dxa" w:w="1984"/>
            <w:vAlign w:val="center"/>
          </w:tcPr>
          <w:p>
            <w:pPr>
              <w:spacing w:after="40" w:line="254" w:lineRule="auto"/>
            </w:pPr>
            <w:r>
              <w:rPr>
                <w:sz w:val="18"/>
              </w:rPr>
              <w:t>Ngô Nhật Quang</w:t>
            </w:r>
          </w:p>
        </w:tc>
        <w:tc>
          <w:tcPr>
            <w:tcW w:type="dxa" w:w="1757"/>
            <w:vAlign w:val="center"/>
          </w:tcPr>
          <w:p>
            <w:pPr>
              <w:spacing w:after="40" w:line="254" w:lineRule="auto"/>
            </w:pPr>
            <w:r>
              <w:rPr>
                <w:sz w:val="18"/>
              </w:rPr>
              <w:t>Ngô Nhật Quang</w:t>
            </w:r>
          </w:p>
        </w:tc>
        <w:tc>
          <w:tcPr>
            <w:tcW w:type="dxa" w:w="3515"/>
            <w:vAlign w:val="center"/>
          </w:tcPr>
          <w:p>
            <w:pPr>
              <w:spacing w:after="40" w:line="254" w:lineRule="auto"/>
            </w:pPr>
            <w:r>
              <w:rPr>
                <w:sz w:val="18"/>
              </w:rPr>
              <w:t>Ảnh 06; log SAT/UNSAT</w:t>
            </w:r>
          </w:p>
        </w:tc>
      </w:tr>
      <w:tr>
        <w:tc>
          <w:tcPr>
            <w:tcW w:type="dxa" w:w="2381"/>
            <w:vAlign w:val="center"/>
            <w:shd w:fill="F7FAFC"/>
          </w:tcPr>
          <w:p>
            <w:pPr>
              <w:spacing w:after="40" w:line="254" w:lineRule="auto"/>
            </w:pPr>
            <w:r>
              <w:rPr>
                <w:sz w:val="18"/>
              </w:rPr>
              <w:t>Chương 4 – Fuzzing &amp; Coverage</w:t>
            </w:r>
          </w:p>
        </w:tc>
        <w:tc>
          <w:tcPr>
            <w:tcW w:type="dxa" w:w="1984"/>
            <w:vAlign w:val="center"/>
            <w:shd w:fill="F7FAFC"/>
          </w:tcPr>
          <w:p>
            <w:pPr>
              <w:spacing w:after="40" w:line="254" w:lineRule="auto"/>
            </w:pPr>
            <w:r>
              <w:rPr>
                <w:sz w:val="18"/>
              </w:rPr>
              <w:t>Ngô Nhật Quang</w:t>
            </w:r>
          </w:p>
        </w:tc>
        <w:tc>
          <w:tcPr>
            <w:tcW w:type="dxa" w:w="1757"/>
            <w:vAlign w:val="center"/>
            <w:shd w:fill="F7FAFC"/>
          </w:tcPr>
          <w:p>
            <w:pPr>
              <w:spacing w:after="40" w:line="254" w:lineRule="auto"/>
            </w:pPr>
            <w:r>
              <w:rPr>
                <w:sz w:val="18"/>
              </w:rPr>
              <w:t>Ngô Nhật Quang</w:t>
            </w:r>
          </w:p>
        </w:tc>
        <w:tc>
          <w:tcPr>
            <w:tcW w:type="dxa" w:w="3515"/>
            <w:vAlign w:val="center"/>
            <w:shd w:fill="F7FAFC"/>
          </w:tcPr>
          <w:p>
            <w:pPr>
              <w:spacing w:after="40" w:line="254" w:lineRule="auto"/>
            </w:pPr>
            <w:r>
              <w:rPr>
                <w:sz w:val="18"/>
              </w:rPr>
              <w:t>Ảnh 07–09; log fuzz, gcov, regression</w:t>
            </w:r>
          </w:p>
        </w:tc>
      </w:tr>
    </w:tbl>
    <w:p>
      <w:pPr>
        <w:pStyle w:val="Heading1"/>
      </w:pPr>
      <w:r>
        <w:t>5. Quy trình bàn giao và kiểm tra chéo</w:t>
      </w:r>
    </w:p>
    <w:p>
      <w:r>
        <w:t>Bước 1 – Quang chốt mã nguồn và log: gửi mã v0/v1, scripts, bộ test, kết quả đo và ảnh; đánh dấu rõ log thực nghiệm, phạm vi kiểm chứng và các bước chưa chạy.</w:t>
      </w:r>
    </w:p>
    <w:p>
      <w:r>
        <w:t>Bước 2 – Hải hoàn thành mô hình: đối chiếu đặc tả và kết quả kiểm chứng, chuẩn bị mô tả 6.1 và hình TikZ dựa trên đúng trạng thái.</w:t>
      </w:r>
    </w:p>
    <w:p>
      <w:r>
        <w:t>Bước 3 – Đạt tổng hợp: đối chiếu từng bảng before/after, gắn ảnh vào đúng mục, biên tập 7–8 và xuất DOCX/PDF.</w:t>
      </w:r>
    </w:p>
    <w:p>
      <w:r>
        <w:t>Bước 4 – Cả nhóm rà soát: Hải kiểm tra lập luận hình thức; Quang kiểm tra mọi lệnh, log, kết quả; Đạt kiểm tra bố cục và bảng biểu. Chỉ nộp khi các thông tin nhất quán.</w:t>
      </w:r>
    </w:p>
    <w:p>
      <w:pPr>
        <w:pStyle w:val="Heading1"/>
      </w:pPr>
      <w:r>
        <w:t>6. Xác nhận phân công</w:t>
      </w:r>
    </w:p>
    <w:p>
      <w:r>
        <w:t>Bảng phân công trên là đề xuất nội bộ để triển khai/nộp theo báo cáo hiện tại. Mã số sinh viên và thời hạn bàn giao do nhóm bổ sung, không tự điền khi chưa xác nhận.</w:t>
      </w:r>
    </w:p>
    <w:tbl>
      <w:tblPr>
        <w:tblStyle w:val="TableGrid"/>
        <w:tblW w:type="auto" w:w="0"/>
        <w:jc w:val="center"/>
        <w:tblLayout w:type="fixed"/>
        <w:tblLook w:firstColumn="1" w:firstRow="1" w:lastColumn="0" w:lastRow="0" w:noHBand="0" w:noVBand="1" w:val="04A0"/>
      </w:tblPr>
      <w:tblGrid>
        <w:gridCol w:w="3241"/>
        <w:gridCol w:w="3241"/>
        <w:gridCol w:w="3241"/>
      </w:tblGrid>
      <w:tr>
        <w:tc>
          <w:tcPr>
            <w:tcW w:type="dxa" w:w="2835"/>
            <w:shd w:fill="DEEAF2"/>
          </w:tcPr>
          <w:p>
            <w:r>
              <w:rPr>
                <w:b/>
                <w:color w:val="13405D"/>
                <w:sz w:val="18"/>
              </w:rPr>
              <w:t>Thành viên</w:t>
            </w:r>
          </w:p>
        </w:tc>
        <w:tc>
          <w:tcPr>
            <w:tcW w:type="dxa" w:w="3855"/>
            <w:shd w:fill="DEEAF2"/>
          </w:tcPr>
          <w:p>
            <w:r>
              <w:rPr>
                <w:b/>
                <w:color w:val="13405D"/>
                <w:sz w:val="18"/>
              </w:rPr>
              <w:t>Vai trò</w:t>
            </w:r>
          </w:p>
        </w:tc>
        <w:tc>
          <w:tcPr>
            <w:tcW w:type="dxa" w:w="2948"/>
            <w:shd w:fill="DEEAF2"/>
          </w:tcPr>
          <w:p>
            <w:r>
              <w:rPr>
                <w:b/>
                <w:color w:val="13405D"/>
                <w:sz w:val="18"/>
              </w:rPr>
              <w:t>Xác nhận</w:t>
            </w:r>
          </w:p>
        </w:tc>
      </w:tr>
      <w:tr>
        <w:tc>
          <w:tcPr>
            <w:tcW w:type="dxa" w:w="2835"/>
            <w:vAlign w:val="center"/>
          </w:tcPr>
          <w:p>
            <w:pPr>
              <w:spacing w:after="40" w:line="254" w:lineRule="auto"/>
            </w:pPr>
            <w:r>
              <w:rPr>
                <w:sz w:val="18"/>
              </w:rPr>
              <w:t>Nguyễn Cao Hải</w:t>
            </w:r>
          </w:p>
        </w:tc>
        <w:tc>
          <w:tcPr>
            <w:tcW w:type="dxa" w:w="3855"/>
            <w:vAlign w:val="center"/>
          </w:tcPr>
          <w:p>
            <w:pPr>
              <w:spacing w:after="40" w:line="254" w:lineRule="auto"/>
            </w:pPr>
            <w:r>
              <w:rPr>
                <w:sz w:val="18"/>
              </w:rPr>
              <w:t>Đặc tả, mô hình, lý thuyết</w:t>
            </w:r>
          </w:p>
        </w:tc>
        <w:tc>
          <w:tcPr>
            <w:tcW w:type="dxa" w:w="2948"/>
            <w:vAlign w:val="center"/>
          </w:tcPr>
          <w:p>
            <w:pPr>
              <w:spacing w:after="40" w:line="254" w:lineRule="auto"/>
            </w:pPr>
            <w:r>
              <w:rPr>
                <w:sz w:val="18"/>
              </w:rPr>
              <w:t>........................................</w:t>
            </w:r>
          </w:p>
        </w:tc>
      </w:tr>
      <w:tr>
        <w:tc>
          <w:tcPr>
            <w:tcW w:type="dxa" w:w="2835"/>
            <w:vAlign w:val="center"/>
            <w:shd w:fill="F7FAFC"/>
          </w:tcPr>
          <w:p>
            <w:pPr>
              <w:spacing w:after="40" w:line="254" w:lineRule="auto"/>
            </w:pPr>
            <w:r>
              <w:rPr>
                <w:sz w:val="18"/>
              </w:rPr>
              <w:t>Ngô Nhật Quang</w:t>
            </w:r>
          </w:p>
        </w:tc>
        <w:tc>
          <w:tcPr>
            <w:tcW w:type="dxa" w:w="3855"/>
            <w:vAlign w:val="center"/>
            <w:shd w:fill="F7FAFC"/>
          </w:tcPr>
          <w:p>
            <w:pPr>
              <w:spacing w:after="40" w:line="254" w:lineRule="auto"/>
            </w:pPr>
            <w:r>
              <w:rPr>
                <w:sz w:val="18"/>
              </w:rPr>
              <w:t>Mã nguồn và kiểm thử</w:t>
            </w:r>
          </w:p>
        </w:tc>
        <w:tc>
          <w:tcPr>
            <w:tcW w:type="dxa" w:w="2948"/>
            <w:vAlign w:val="center"/>
            <w:shd w:fill="F7FAFC"/>
          </w:tcPr>
          <w:p>
            <w:pPr>
              <w:spacing w:after="40" w:line="254" w:lineRule="auto"/>
            </w:pPr>
            <w:r>
              <w:rPr>
                <w:sz w:val="18"/>
              </w:rPr>
              <w:t>........................................</w:t>
            </w:r>
          </w:p>
        </w:tc>
      </w:tr>
      <w:tr>
        <w:tc>
          <w:tcPr>
            <w:tcW w:type="dxa" w:w="2835"/>
            <w:vAlign w:val="center"/>
          </w:tcPr>
          <w:p>
            <w:pPr>
              <w:spacing w:after="40" w:line="254" w:lineRule="auto"/>
            </w:pPr>
            <w:r>
              <w:rPr>
                <w:sz w:val="18"/>
              </w:rPr>
              <w:t>Đồng Đại Đạt</w:t>
            </w:r>
          </w:p>
        </w:tc>
        <w:tc>
          <w:tcPr>
            <w:tcW w:type="dxa" w:w="3855"/>
            <w:vAlign w:val="center"/>
          </w:tcPr>
          <w:p>
            <w:pPr>
              <w:spacing w:after="40" w:line="254" w:lineRule="auto"/>
            </w:pPr>
            <w:r>
              <w:rPr>
                <w:sz w:val="18"/>
              </w:rPr>
              <w:t>Phân tích tổng hợp và biên tập</w:t>
            </w:r>
          </w:p>
        </w:tc>
        <w:tc>
          <w:tcPr>
            <w:tcW w:type="dxa" w:w="2948"/>
            <w:vAlign w:val="center"/>
          </w:tcPr>
          <w:p>
            <w:pPr>
              <w:spacing w:after="40" w:line="254" w:lineRule="auto"/>
            </w:pPr>
            <w:r>
              <w:rPr>
                <w:sz w:val="18"/>
              </w:rPr>
              <w:t>........................................</w:t>
            </w:r>
          </w:p>
        </w:tc>
      </w:tr>
    </w:tbl>
    <w:sectPr w:rsidR="00FC693F" w:rsidRPr="0006063C" w:rsidSect="00034616">
      <w:headerReference w:type="default" r:id="rId9"/>
      <w:footerReference w:type="default" r:id="rId10"/>
      <w:pgSz w:w="11906" w:h="16838"/>
      <w:pgMar w:top="907" w:right="1049" w:bottom="822"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37F"/>
        <w:sz w:val="16"/>
      </w:rPr>
      <w:t xml:space="preserve">Bảng phân công nội bộ – bám theo báo cáo hiện tại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737F"/>
        <w:sz w:val="16"/>
      </w:rPr>
      <w:t>NHÓM 06  |  AN TOÀN PHẦN MỀM  |  CHỦ ĐỀ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2466C"/>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8547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color w:val="0D3856"/>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