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9300" w:hRule="atLeas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③ 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 w:color="333333"/>
              </w:rPr>
              <w:t xml:space="preserve">ちじん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と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 w:color="333333"/>
              </w:rPr>
              <w:t xml:space="preserve">ぎょうれつ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の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できる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レストラン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に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いく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。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② 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 w:color="333333"/>
              </w:rPr>
              <w:t xml:space="preserve">はるやすみ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に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、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 w:color="333333"/>
              </w:rPr>
              <w:t xml:space="preserve">ゆき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が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ふっ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た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。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① 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 w:color="333333"/>
              </w:rPr>
              <w:t xml:space="preserve">えのぐ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で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、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 w:color="333333"/>
              </w:rPr>
              <w:t xml:space="preserve">はな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の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u w:val="single" w:color="333333"/>
              </w:rPr>
              <w:t xml:space="preserve">え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を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かく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。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b/>
                <w:bCs/>
                <w:sz w:val="32"/>
                <w:szCs w:val="32"/>
              </w:rPr>
              <w:t xml:space="preserve">ＣＥ一　こんしゅうのかん字⑬　名まえ（　　　　）</w:t>
            </w:r>
          </w:p>
        </w:tc>
      </w:tr>
    </w:tbl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2026-06-01T12:04:29.864Z</dcterms:created>
  <dcterms:modified xsi:type="dcterms:W3CDTF">2026-06-01T12:04:29.864Z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