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 sentence with a footnote</w:t>
      </w:r>
      <w:r>
        <w:rPr>
          <w:rStyle w:val="FootnoteReference"/>
        </w:rPr>
        <w:footnoteReference w:id="2"/>
      </w:r>
      <w:r>
        <w:rPr/>
        <w:t xml:space="preserve"> and then more text.</w:t>
      </w:r>
    </w:p>
    <w:p>
      <w:pPr>
        <w:pStyle w:val="Normal"/>
        <w:bidi w:val="0"/>
        <w:jc w:val="start"/>
        <w:rPr/>
      </w:pPr>
      <w:r>
        <w:rPr/>
        <w:t>A second sentence with an endnote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A third sentence with another footnote</w:t>
      </w:r>
      <w:r>
        <w:rPr>
          <w:rStyle w:val="FootnoteReference"/>
        </w:rPr>
        <w:footnoteReference w:id="3"/>
      </w:r>
      <w:r>
        <w:rPr/>
        <w:t>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>The endnote body.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The first footnote body.</w:t>
      </w:r>
    </w:p>
  </w:footnote>
  <w:footnote w:id="3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The second footnote body.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