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1. Arthanat, S., Vroman, K. G., Lysack, C., &amp; Grizzetti, J. (2019). Multi-stakeholder perspectives on information communication technology training for older adults: implications for teaching and learning. Disability and Rehabilitation Assistive Technology, 453-461. https://doi.org/10.1080/17483107.2018.1493752</w:t>
      </w:r>
    </w:p>
    <w:p>
      <w:r>
        <w:t>2. Beaunoyer, E., Hiracheta Torres, L., Maessen, L., &amp; Guitton, M. J. (2020). Grieving in the digital era: Mapping online support for grief and bereavement. Patient Education and Counseling, 2515-2524. https://doi.org/10.1016/j.pec.2020.06.013</w:t>
      </w:r>
    </w:p>
    <w:p>
      <w:r>
        <w:t>3. Bitner, M. J., Ostrom, A. L., &amp; Morgan, F. N. (2008). Service Blueprinting: A Practical Technique for Service Innovation. California Management Review, 66-94. https://doi.org/10.2307/41166446</w:t>
      </w:r>
    </w:p>
    <w:p>
      <w:r>
        <w:t>4. Brandl, L., Cabrita, M., Brodbeck, J., Heylen, D., &amp; van Velsen, L. (2022). Consulting the Oracle: A Delphi study for determining parameters for a mental health user profile and personalization strategy for an online service to aid grieving older adults. Internet Interventions, 100534. https://doi.org/10.1016/j.invent.2022.100534</w:t>
      </w:r>
    </w:p>
    <w:p>
      <w:r>
        <w:t>5. Brodbeck, J., Berger, T., Biesold, N., Rockstroh, F., Schmidt, S. J., &amp; Znoj, H. (2022). The Role of Emotion Regulation and Loss-Related Coping Self-efficacy in an Internet Intervention for Grief: Mediation Analysis. JMIR Mental Health, e27707. https://doi.org/10.2196/27707</w:t>
      </w:r>
    </w:p>
    <w:p>
      <w:r>
        <w:t>6. Brodbeck, J., Berger, T., Biesold, N., Rockstroh, F., &amp; Znoj, H. J. (2019). Evaluation of a guided internet-based self-help intervention for older adults after spousal bereavement or separation/divorce: A randomised controlled trial. Journal of Affective Disorders, 440-449. https://doi.org/10.1016/j.jad.2019.04.008</w:t>
      </w:r>
    </w:p>
    <w:p>
      <w:r>
        <w:t>7. Broekhuis, M., Dekker-van Weering, M., Schuit, C., Schürz, S., &amp; van Velsen, L. (2021). Designing a stakeholder-inclusive service model for an eHealth service to support older adults in an active and social life. BMC Health Services Research, 1-17. https://doi.org/10.1186/s12913-021-06597-9</w:t>
      </w:r>
    </w:p>
    <w:p>
      <w:r>
        <w:t>8. Gaffney, H., Mansell, W., &amp; Tai, S. (2019). Conversational Agents in the Treatment of Mental Health Problems: Mixed-Method Systematic Review. JMIR Mental Health, e14166. https://doi.org/10.2196/14166</w:t>
      </w:r>
    </w:p>
    <w:p>
      <w:r>
        <w:t>9. Hill, R., Betts, L. R., &amp; Gardner, S. E. (2015). Older adults’ experiences and perceptions of digital technology: (Dis)empowerment, wellbeing, and inclusion. Computers in Human Behavior, 415-423. https://doi.org/10.1016/j.chb.2015.01.062</w:t>
      </w:r>
    </w:p>
    <w:p>
      <w:r>
        <w:t>10. Holland, J. M., Neimeyer, R. A., Boelen, P. A., &amp; Prigerson, H. G. (2009). The Underlying Structure of Grief: A Taxometric Investigation of Prolonged and Normal Reactions to Loss. Journal of Psychopathology and Behavioral Assessment, 190-201. https://doi.org/10.1007/s10862-008-9113-1</w:t>
      </w:r>
    </w:p>
    <w:p>
      <w:r>
        <w:t>11. Iversen, T. N., Larsen, L., &amp; Solem, P. E. (2009). A conceptual analysis of Ageism. Nordic Psychology, 4-22. https://doi.org/10.1027/1901-2276.61.3.4</w:t>
      </w:r>
    </w:p>
    <w:p>
      <w:r>
        <w:t>12. Kramer, L. L., Ter Stal, S., Mulder, B. C., de Vet, E., &amp; van Velsen, L. (2020). Developing Embodied Conversational Agents for Coaching People in a Healthy Lifestyle: Scoping Review. Journal of Medical Internet Research, e14058. https://doi.org/10.2196/14058</w:t>
      </w:r>
    </w:p>
    <w:p>
      <w:r>
        <w:t>13. LeRouge, C., Ma, J., Sneha, S., &amp; Tolle, K. (2013). User profiles and personas in the design and development of consumer health technologies. International Journal of Medical Informatics, e251-e268. https://doi.org/10.1016/j.ijmedinf.2011.03.006</w:t>
      </w:r>
    </w:p>
    <w:p>
      <w:r>
        <w:t>14. Lundorff, M., Holmgren, H., Zachariae, R., Farver-Vestergaard, I., &amp; O'Connor, M. (2017). Prevalence of prolonged grief disorder in adult bereavement: A systematic review and meta-analysis. Journal of Affective Disorders, 138-149. https://doi.org/10.1016/j.jad.2017.01.030</w:t>
      </w:r>
    </w:p>
    <w:p>
      <w:r>
        <w:t>15. March, S., Day, J., Ritchie, G., Rowe, A., Gough, J., Hall, T., Yuen, C. Y. J., Donovan, C. L., &amp; Ireland, M. (2018). Attitudes Toward e-Mental Health Services in a Community Sample of Adults: Online Survey. Journal of Medical Internet Research, e59. https://doi.org/10.2196/jmir.9109</w:t>
      </w:r>
    </w:p>
    <w:p>
      <w:r>
        <w:t>16. Albury, C., Hall, A., Syed, A., Ziebland, S., Stokoe, E., Roberts, N., Webb, H., &amp; Aveyard, P. (2019). Communication practices for delivering health behaviour change conversations in primary care: A systematic review and thematic synthesis. BMC Family Practice, 20(1). https://doi.org/10.1186/s12875-019-0992-x</w:t>
      </w:r>
    </w:p>
    <w:p>
      <w:r>
        <w:t>17. Albury, C., Webb, H., Ziebland, S., Aveyard, P., &amp; Stokoe, E. (2022). What happens when patients say “no” to offers of referral for weight loss? - Results and recommendations from a conversation analysis of primary care interactions. Patient Education and Counseling, 105(3), 524-533. https://doi.org/10.1016/j.pec.2021.08.017</w:t>
      </w:r>
    </w:p>
    <w:p>
      <w:r>
        <w:t>18. Albury, C., Ziebland, S., Webb, H., Stokoe, E., &amp; Aveyard, P. (2020). Discussing weight loss opportunistically and effectively in family practice: A qualitative study of clinical interactions using conversation analysis in UK family practice. Family Practice, 38(3), 321-328. https://doi.org/10.1093/fampra/cmaa121</w:t>
      </w:r>
    </w:p>
    <w:p>
      <w:r>
        <w:t>19. Ananthakumar, T., Jones, N. R., Hinton, L., &amp; Aveyard, P. (2020). Clinical encounters about obesity: Systematic review of patients’ perspectives. Clinical Obesity, 10(1). https://doi.org/10.1111/cob.12347</w:t>
      </w:r>
    </w:p>
    <w:p>
      <w:r>
        <w:t>20. Aveyard, P., Lewis, A., Tearne, S., Hood, K., Christian-Brown, A., Adab, P., Begh, R., Jolly, K., Daley, A., Farley, A., Lycett, D., Nickless, A., Yu, L. M., Retat, L., Webber, L., Pimpin, L., &amp; Jebb, S. A. (2016). Screening and brief intervention for obesity in primary care: A parallel, two-arm, randomised trial. Lancet, 388(10059), 2492-2500. https://doi.org/10.1016/S0140-6736(16)31893-1</w:t>
      </w:r>
    </w:p>
    <w:p>
      <w:r>
        <w:t>21. Beach, W. A., &amp; Prickett, E. (2017). Laughter, humor, and cancer: Delicate moments and poignant interactional circumstances. Health Communication, 32(7), 791-802. https://doi.org/10.1080/10410236.2016.1172291</w:t>
      </w:r>
    </w:p>
    <w:p>
      <w:r>
        <w:t>22. Bergen, C. (2020). The conditional legitimacy of behavior change advice in primary care. Social Science &amp; Medicine, 255. https://doi.org/10.1016/j.socscimed.2020.112985</w:t>
      </w:r>
    </w:p>
    <w:p>
      <w:r>
        <w:t>23. Bergen, C., &amp; Stivers, T. (2013). Patient disclosure of medical misdeeds. Journal of Health and Social Behavior, 54(2), 221-240. https://doi.org/10.1177/0022146513487379</w:t>
      </w:r>
    </w:p>
    <w:p>
      <w:r>
        <w:t>24. Blackburn, M., &amp; Stathi, A. (2019). Moral discourse in general practitioners’ accounts of obesity communication. Social Science &amp; Medicine, 230, 166-173. https://doi.org/10.1016/j.socscimed.2019.03.032</w:t>
      </w:r>
    </w:p>
    <w:p>
      <w:r>
        <w:t>25. Bloch, S., &amp; Antaki, C. (2022). How professionals deal with clients’ explicit objections to their advice. Discourse Studies, 24(4), 385-403. https://doi.org/10.1177/14614456221110669</w:t>
      </w:r>
    </w:p>
    <w:p>
      <w:r>
        <w:t>26. Bolden, G. B. (2009). Implementing incipient actions: The discourse marker ‘so’ in English conversation. Journal of Pragmatics, 41(5), 974-998. https://doi.org/10.1016/j.pragma.2008.10.004</w:t>
      </w:r>
    </w:p>
    <w:p>
      <w:r>
        <w:t>27. Busetto, L., Sbraccia, P., &amp; Vettor, R. (2022). Obesity management: At the forefront against disease stigma and therapeutic inertia. Eating and Weight Disorders - Studies on Anorexia, Bulimia and Obesity, 27(2), 761-768. https://doi.org/10.1007/s40519-021-01217-1</w:t>
      </w:r>
    </w:p>
    <w:p>
      <w:r>
        <w:t>28. Department of Health and Social Care (2020). Tackling Obesity: Empowering Adults and Children to Live Healthy Lives.</w:t>
      </w:r>
    </w:p>
    <w:p>
      <w:r>
        <w:t>29. Ekberg, K., &amp; LeCouteur, A. (2015). Clients’ resistance to therapists’ proposals: Managing epistemic and deontic status. Journal of Pragmatics, 90, 12-25. https://doi.org/10.1016/j.pragma.2015.10.004</w:t>
      </w:r>
    </w:p>
    <w:p>
      <w:r>
        <w:t>30. Glenn, P. (2003). Laughter in interaction.</w:t>
      </w:r>
    </w:p>
    <w:p>
      <w:r>
        <w:t>31. Abdullah, K., Noor, N. M., &amp; Wok, S. (2008). The perceptions of women’s roles and progress: a study of Malay women. Soc. Indic. Res., 89, 439-455. https://doi.org/10.1007/s11205-008-9242-7</w:t>
      </w:r>
    </w:p>
    <w:p>
      <w:r>
        <w:t>32. Ackert, M., Maglakelidze, E., Badurashvili, I., &amp; Huber, S. (2020a). Validation of the short forms of the centrality of religiosity scale in Georgia. Religions, 11, 1-22. https://doi.org/10.3390/rel11020057</w:t>
      </w:r>
    </w:p>
    <w:p>
      <w:r>
        <w:t>33. Ackert, M., &amp; Plopeanu, A.-P. (2021). Short forms of the centrality of religiosity scale: validation and application in the context of religious individualism of orthodox and Pentecostal Christians in Romania. Religions, 12, 1-29. https://doi.org/10.3390/rel12010009</w:t>
      </w:r>
    </w:p>
    <w:p>
      <w:r>
        <w:t>34. Ackert, M., Prutskova, E., &amp; Zabaev, I. (2020b). Validation of the short forms of centrality of religiosity scale in Russia. Religions, 11, 1-35. https://doi.org/10.3390/rel11110577</w:t>
      </w:r>
    </w:p>
    <w:p>
      <w:r>
        <w:t>35. Aday, R. H. (1985). Belief in afterlife and death anxiety: correlates and comparisons. OMEGA J. Death Dying, 15, 67-75. https://doi.org/10.2190/GYPP-VBG3-M3AY-1ML9</w:t>
      </w:r>
    </w:p>
    <w:p>
      <w:r>
        <w:t>36. Adelirad, F., Sabahiazar, K., Asghari-Jafarabadi, M., Namjoo, S., Chattu, V. K., &amp; Allahverdipour, H. (2021). Gender difference about death anxiety among older adults: structural equation model. Psychogeriatrics, 21, 296-303. https://doi.org/10.1111/psyg.12663</w:t>
      </w:r>
    </w:p>
    <w:p>
      <w:r>
        <w:t>37. Agency for Integrated Care (2023).</w:t>
      </w:r>
    </w:p>
    <w:p>
      <w:r>
        <w:t>38. Allport, G. W., &amp; Ross, J. M. (1967). Personal religious orientation and prejudice. J. Pers. Soc. Psychol., 5, 432-443. https://doi.org/10.1037/h0021212</w:t>
      </w:r>
    </w:p>
    <w:p>
      <w:r>
        <w:t>39. Ang, G., Zhang, D., &amp; Lim, K. (2016). Differences in attitudes to end-of-life care among patients, relatives and healthcare professionals. Singapore Med. J., 57, 22-28. https://doi.org/10.11622/smedj.2016008</w:t>
      </w:r>
    </w:p>
    <w:p>
      <w:r>
        <w:t>40. Batson, C. D., Schoenrade, P., Ventis, W. L., &amp; Batson, C. D. (1993). Religion and the individual: A social-psychological perspective.</w:t>
      </w:r>
    </w:p>
    <w:p>
      <w:r>
        <w:t>41. Beck, R., &amp; Jessup, R. K. (2004). The multidimensional nature of quest motivation. J. Psychol. Theol., 32, 283-294. https://doi.org/10.1177/009164710403200401</w:t>
      </w:r>
    </w:p>
    <w:p>
      <w:r>
        <w:t>42. Bengtson, V. L., Silverstein, M., Putney, N. M., &amp; Harris, S. C. (2015). Does religiousness increase with age? Age changes and generational differences over 35 years. J. Sci. Study Relig., 54, 363-379. https://doi.org/10.1111/jssr.12183</w:t>
      </w:r>
    </w:p>
    <w:p>
      <w:r>
        <w:t>43. Bruce, S. (2011). Defining religion: a practical response. Int. Rev. Sociol., 21, 107-120. https://doi.org/10.1080/03906701.2011.544190</w:t>
      </w:r>
    </w:p>
    <w:p>
      <w:r>
        <w:t>44. Bryukhanov, M., &amp; Fedotenkov, I. (2023). Gender differences in religiosity: a report on Russian data. J. Gend. Stud., 32, 107-123. https://doi.org/10.1080/09589236.2021.1962702</w:t>
      </w:r>
    </w:p>
    <w:p>
      <w:r>
        <w:t>45. Burke, B. L., Martens, A., &amp; Faucher, E. H. (2010). Two decades of terror management theory: a meta-analysis of mortality salience research. Personal. Soc. Psychol. Rev., 14, 155-195. https://doi.org/10.1177/1088868309352321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