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Compact"/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Compact"/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Compact"/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Compact"/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724400" cy="4067175"/>
            <wp:effectExtent b="0" l="0" r="0" t="0"/>
            <wp:docPr descr="semaphor.s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semaphor.sh</w:t>
      </w:r>
    </w:p>
    <w:p>
      <w:pPr>
        <w:pStyle w:val="BodyText"/>
      </w:pPr>
      <w:r>
        <w:t xml:space="preserve">Пишем командный файл, реализующий упрощённый механизм семафоров.</w:t>
      </w:r>
    </w:p>
    <w:p>
      <w:pPr>
        <w:pStyle w:val="CaptionedFigure"/>
      </w:pPr>
      <w:r>
        <w:drawing>
          <wp:inline>
            <wp:extent cx="3800475" cy="609600"/>
            <wp:effectExtent b="0" l="0" r="0" t="0"/>
            <wp:docPr descr="работа скрип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скрипта</w:t>
      </w:r>
    </w:p>
    <w:p>
      <w:pPr>
        <w:pStyle w:val="BodyText"/>
      </w:pPr>
      <w:r>
        <w:t xml:space="preserve">Перенаправляем вывод из первого терминала во второй.</w:t>
      </w:r>
    </w:p>
    <w:p>
      <w:pPr>
        <w:pStyle w:val="CaptionedFigure"/>
      </w:pPr>
      <w:r>
        <w:drawing>
          <wp:inline>
            <wp:extent cx="3848100" cy="1143000"/>
            <wp:effectExtent b="0" l="0" r="0" t="0"/>
            <wp:docPr descr="работа скрип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скрипта</w:t>
      </w:r>
    </w:p>
    <w:p>
      <w:pPr>
        <w:pStyle w:val="BodyText"/>
      </w:pPr>
      <w:r>
        <w:t xml:space="preserve">Вывод во втором терминале.</w:t>
      </w:r>
    </w:p>
    <w:p>
      <w:pPr>
        <w:pStyle w:val="CaptionedFigure"/>
      </w:pPr>
      <w:r>
        <w:drawing>
          <wp:inline>
            <wp:extent cx="5334000" cy="4504059"/>
            <wp:effectExtent b="0" l="0" r="0" t="0"/>
            <wp:docPr descr="new semaphor.sh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new semaphor.sh</w:t>
      </w:r>
    </w:p>
    <w:p>
      <w:pPr>
        <w:pStyle w:val="CaptionedFigure"/>
      </w:pPr>
      <w:r>
        <w:drawing>
          <wp:inline>
            <wp:extent cx="5334000" cy="3785962"/>
            <wp:effectExtent b="0" l="0" r="0" t="0"/>
            <wp:docPr descr="new semaphor.sh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new semaphor.sh</w:t>
      </w:r>
    </w:p>
    <w:p>
      <w:pPr>
        <w:pStyle w:val="BodyText"/>
      </w:pPr>
      <w:r>
        <w:t xml:space="preserve">Дорабатываем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aptionedFigure"/>
      </w:pPr>
      <w:r>
        <w:drawing>
          <wp:inline>
            <wp:extent cx="3924300" cy="457200"/>
            <wp:effectExtent b="0" l="0" r="0" t="0"/>
            <wp:docPr descr="работа скрип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скрипта</w:t>
      </w:r>
    </w:p>
    <w:p>
      <w:pPr>
        <w:pStyle w:val="BodyText"/>
      </w:pPr>
      <w:r>
        <w:t xml:space="preserve">Перенаправляем вывод из первого терминала во второй.</w:t>
      </w:r>
    </w:p>
    <w:p>
      <w:pPr>
        <w:pStyle w:val="CaptionedFigure"/>
      </w:pPr>
      <w:r>
        <w:drawing>
          <wp:inline>
            <wp:extent cx="3781425" cy="409575"/>
            <wp:effectExtent b="0" l="0" r="0" t="0"/>
            <wp:docPr descr="работа скрипт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скрипта</w:t>
      </w:r>
    </w:p>
    <w:p>
      <w:pPr>
        <w:pStyle w:val="BodyText"/>
      </w:pPr>
      <w:r>
        <w:t xml:space="preserve">Перенаправляем вывод из второго терминала в третий.</w:t>
      </w:r>
    </w:p>
    <w:p>
      <w:pPr>
        <w:pStyle w:val="CaptionedFigure"/>
      </w:pPr>
      <w:r>
        <w:drawing>
          <wp:inline>
            <wp:extent cx="5334000" cy="1107404"/>
            <wp:effectExtent b="0" l="0" r="0" t="0"/>
            <wp:docPr descr="работа скрипт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скрипта</w:t>
      </w:r>
    </w:p>
    <w:p>
      <w:pPr>
        <w:pStyle w:val="BodyText"/>
      </w:pPr>
      <w:r>
        <w:t xml:space="preserve">Вывод в третьем терминале</w:t>
      </w:r>
    </w:p>
    <w:p>
      <w:pPr>
        <w:pStyle w:val="CaptionedFigure"/>
      </w:pPr>
      <w:r>
        <w:drawing>
          <wp:inline>
            <wp:extent cx="4762500" cy="1962150"/>
            <wp:effectExtent b="0" l="0" r="0" t="0"/>
            <wp:docPr descr="reman.sh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reman.sh</w:t>
      </w:r>
    </w:p>
    <w:p>
      <w:pPr>
        <w:pStyle w:val="BodyText"/>
      </w:pPr>
      <w:r>
        <w:t xml:space="preserve">Реализовываем команду man с помощью командного файла.</w:t>
      </w:r>
    </w:p>
    <w:p>
      <w:pPr>
        <w:pStyle w:val="CaptionedFigure"/>
      </w:pPr>
      <w:r>
        <w:drawing>
          <wp:inline>
            <wp:extent cx="5095875" cy="3143250"/>
            <wp:effectExtent b="0" l="0" r="0" t="0"/>
            <wp:docPr descr="работа скрипт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скрипта</w:t>
      </w:r>
    </w:p>
    <w:p>
      <w:pPr>
        <w:pStyle w:val="BodyText"/>
      </w:pPr>
      <w:r>
        <w:t xml:space="preserve">Вывод для указанного аргумента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1596443"/>
            <wp:effectExtent b="0" l="0" r="0" t="0"/>
            <wp:docPr descr="randoml.sh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randoml.sh</w:t>
      </w:r>
    </w:p>
    <w:p>
      <w:pPr>
        <w:pStyle w:val="BodyText"/>
      </w:pPr>
      <w:r>
        <w:t xml:space="preserve">Используя встроенную переменную $RANDOM, пишем командный файл, генерирующий случайную последовательность букв латинского алфавита.</w:t>
      </w:r>
    </w:p>
    <w:p>
      <w:pPr>
        <w:pStyle w:val="CaptionedFigure"/>
      </w:pPr>
      <w:r>
        <w:drawing>
          <wp:inline>
            <wp:extent cx="3724275" cy="1790700"/>
            <wp:effectExtent b="0" l="0" r="0" t="0"/>
            <wp:docPr descr="работа скрипта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скрипта</w:t>
      </w:r>
    </w:p>
    <w:p>
      <w:pPr>
        <w:pStyle w:val="BodyText"/>
      </w:pPr>
      <w:r>
        <w:t xml:space="preserve">Вывод при разных аргументах или их отсутсвии.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3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3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3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3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3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3"/>
        </w:numPr>
      </w:pPr>
      <w:r>
        <w:t xml:space="preserve">Robbins, A. Bash Pocket Reference / A. Robbins. – O’Reilly Media, 2016. – 156 сс.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Петлин Артём Дмитриевич</dc:creator>
  <dc:language>ru-RU</dc:language>
  <cp:keywords/>
  <dcterms:created xsi:type="dcterms:W3CDTF">2025-05-17T14:51:36Z</dcterms:created>
  <dcterms:modified xsi:type="dcterms:W3CDTF">2025-05-17T14:51:36Z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