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Author"/>
      </w:pPr>
      <w:r>
        <w:t xml:space="preserve">Артём Дмитриевич Петлин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заданиями операционной системы (см. раздел 6.4.1).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управления процессами операционной системы (см. раздел 6.4.2).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(см. раздел 6.5)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Под процессом в операционной системе понимается абстракция, описывающая вы-</w:t>
      </w:r>
      <w:r>
        <w:t xml:space="preserve"> </w:t>
      </w:r>
      <w:r>
        <w:t xml:space="preserve">полняющуюся программу.</w:t>
      </w:r>
      <w:r>
        <w:t xml:space="preserve"> </w:t>
      </w:r>
      <w:r>
        <w:t xml:space="preserve">Информацию о выполняющихся в операционной системе типа Unix процессах можно</w:t>
      </w:r>
      <w:r>
        <w:t xml:space="preserve"> </w:t>
      </w:r>
      <w:r>
        <w:t xml:space="preserve">получить, например, с помощью команд ps, top, htop.</w:t>
      </w:r>
    </w:p>
    <w:bookmarkEnd w:id="22"/>
    <w:bookmarkStart w:id="119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001"/>
          <w:p>
            <w:pPr>
              <w:pStyle w:val="Compact"/>
              <w:jc w:val="center"/>
            </w:pPr>
            <w:r>
              <w:drawing>
                <wp:inline>
                  <wp:extent cx="5334000" cy="3043578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3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su -</w:t>
            </w:r>
          </w:p>
          <w:bookmarkEnd w:id="26"/>
        </w:tc>
      </w:tr>
    </w:tbl>
    <w:p>
      <w:pPr>
        <w:pStyle w:val="BodyText"/>
      </w:pPr>
      <w:r>
        <w:t xml:space="preserve">Получаем полномочия администратора. Запускаем несколько фоновых процессов и один длительный процесс на переднем плане. Введите Ctrl + z , чтобы остановить</w:t>
      </w:r>
      <w:r>
        <w:t xml:space="preserve"> </w:t>
      </w:r>
      <w:r>
        <w:t xml:space="preserve">процесс.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002"/>
          <w:p>
            <w:pPr>
              <w:pStyle w:val="Compact"/>
              <w:jc w:val="center"/>
            </w:pPr>
            <w:r>
              <w:drawing>
                <wp:inline>
                  <wp:extent cx="5334000" cy="2620392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20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bg | fg</w:t>
            </w:r>
          </w:p>
          <w:bookmarkEnd w:id="30"/>
        </w:tc>
      </w:tr>
    </w:tbl>
    <w:p>
      <w:pPr>
        <w:pStyle w:val="BodyText"/>
      </w:pPr>
      <w:r>
        <w:t xml:space="preserve">Возобновляем выполнение приостановленного задания в фоновом режиме и наблюдаем изменение его статуса. Перемещаем одно из заданий на передний план. Завершаем выполнение задания на переднем плане с помощью комбинации клавиш и проверяем изменения в списке заданий.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21195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19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ctrl + z</w:t>
            </w:r>
          </w:p>
          <w:bookmarkEnd w:id="34"/>
        </w:tc>
      </w:tr>
    </w:tbl>
    <w:p>
      <w:pPr>
        <w:pStyle w:val="BodyText"/>
      </w:pPr>
      <w:r>
        <w:t xml:space="preserve">Последовательно завершаем оставшиеся задания.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004"/>
          <w:p>
            <w:pPr>
              <w:pStyle w:val="Compact"/>
              <w:jc w:val="center"/>
            </w:pPr>
            <w:r>
              <w:drawing>
                <wp:inline>
                  <wp:extent cx="5334000" cy="1205127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/4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05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&amp;</w:t>
            </w:r>
          </w:p>
          <w:bookmarkEnd w:id="38"/>
        </w:tc>
      </w:tr>
    </w:tbl>
    <w:p>
      <w:pPr>
        <w:pStyle w:val="BodyText"/>
      </w:pPr>
      <w:r>
        <w:t xml:space="preserve">На втором терминале запускаем фоновый процесс от имени обычного пользователя. Закрываем второй терминал. На другом терминале проверяем, что процесс продолжает выполняться, с помощью системного монитора.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798453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98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top</w:t>
            </w:r>
          </w:p>
          <w:bookmarkEnd w:id="4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6"/>
          <w:p>
            <w:pPr>
              <w:pStyle w:val="Compact"/>
              <w:jc w:val="center"/>
            </w:pPr>
            <w:r>
              <w:drawing>
                <wp:inline>
                  <wp:extent cx="5334000" cy="798453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/6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98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top</w:t>
            </w:r>
          </w:p>
          <w:bookmarkEnd w:id="46"/>
        </w:tc>
      </w:tr>
    </w:tbl>
    <w:p>
      <w:pPr>
        <w:pStyle w:val="BodyText"/>
      </w:pPr>
      <w:r>
        <w:t xml:space="preserve">Завершаем оставшийся процесс через системный монитор.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3233737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33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su -</w:t>
            </w:r>
          </w:p>
          <w:bookmarkEnd w:id="50"/>
        </w:tc>
      </w:tr>
    </w:tbl>
    <w:p>
      <w:pPr>
        <w:pStyle w:val="BodyText"/>
      </w:pPr>
      <w:r>
        <w:t xml:space="preserve">Получаем полномочия администратора. Запускаем несколько фоновых процессов. Просматриваем информацию о запущенных процессах, фильтруя нужные нам процессы.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513366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13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renice</w:t>
            </w:r>
          </w:p>
          <w:bookmarkEnd w:id="54"/>
        </w:tc>
      </w:tr>
    </w:tbl>
    <w:p>
      <w:pPr>
        <w:pStyle w:val="BodyText"/>
      </w:pPr>
      <w:r>
        <w:t xml:space="preserve">Изменяем приоритет одного из процессов, используя его идентификатор.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009"/>
          <w:p>
            <w:pPr>
              <w:pStyle w:val="Compact"/>
              <w:jc w:val="center"/>
            </w:pPr>
            <w:r>
              <w:drawing>
                <wp:inline>
                  <wp:extent cx="5334000" cy="1627061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/9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27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ps fax | grep -B5 dd</w:t>
            </w:r>
          </w:p>
          <w:bookmarkEnd w:id="58"/>
        </w:tc>
      </w:tr>
    </w:tbl>
    <w:p>
      <w:pPr>
        <w:pStyle w:val="BodyText"/>
      </w:pPr>
      <w:r>
        <w:t xml:space="preserve">Изучаем иерархию процессов, просматривая связи между родительскими и дочерними процессами.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2" w:name="fig-010"/>
          <w:p>
            <w:pPr>
              <w:pStyle w:val="Compact"/>
              <w:jc w:val="center"/>
            </w:pPr>
            <w:r>
              <w:drawing>
                <wp:inline>
                  <wp:extent cx="4445000" cy="8255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kill -9</w:t>
            </w:r>
          </w:p>
          <w:bookmarkEnd w:id="62"/>
        </w:tc>
      </w:tr>
    </w:tbl>
    <w:p>
      <w:pPr>
        <w:pStyle w:val="BodyText"/>
      </w:pPr>
      <w:r>
        <w:t xml:space="preserve">Завершаем родительский процесс, что приводит к автоматическому завершению всех связанных дочерних процессов.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1"/>
          <w:p>
            <w:pPr>
              <w:pStyle w:val="Compact"/>
              <w:jc w:val="center"/>
            </w:pPr>
            <w:r>
              <w:drawing>
                <wp:inline>
                  <wp:extent cx="5334000" cy="2785773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85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renice</w:t>
            </w:r>
          </w:p>
          <w:bookmarkEnd w:id="66"/>
        </w:tc>
      </w:tr>
    </w:tbl>
    <w:p>
      <w:pPr>
        <w:pStyle w:val="BodyText"/>
      </w:pPr>
      <w:r>
        <w:t xml:space="preserve">Запускаем три фоновых процесса. Повышаем приоритет одного из процессов, устанавливая отрицательное значение. Дополнительно изменяем приоритет того же процесса, устанавливая другое значение, и анализируем разницу в приоритетах.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2"/>
          <w:p>
            <w:pPr>
              <w:pStyle w:val="Compact"/>
              <w:jc w:val="center"/>
            </w:pPr>
            <w:r>
              <w:drawing>
                <wp:inline>
                  <wp:extent cx="5334000" cy="2192753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92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killa -9</w:t>
            </w:r>
          </w:p>
          <w:bookmarkEnd w:id="70"/>
        </w:tc>
      </w:tr>
    </w:tbl>
    <w:p>
      <w:pPr>
        <w:pStyle w:val="BodyText"/>
      </w:pPr>
      <w:r>
        <w:t xml:space="preserve">Завершаем все запущенные процессы.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3"/>
          <w:p>
            <w:pPr>
              <w:pStyle w:val="Compact"/>
              <w:jc w:val="center"/>
            </w:pPr>
            <w:r>
              <w:drawing>
                <wp:inline>
                  <wp:extent cx="5334000" cy="1725038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25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yes</w:t>
            </w:r>
          </w:p>
          <w:bookmarkEnd w:id="74"/>
        </w:tc>
      </w:tr>
    </w:tbl>
    <w:p>
      <w:pPr>
        <w:pStyle w:val="BodyText"/>
      </w:pPr>
      <w:r>
        <w:t xml:space="preserve">Запускаем фоновый процесс с перенаправлением вывода. Запускаем процесс на переднем плане с перенаправлением вывода, приостанавливаем его, затем возобновляем и завершаем.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1725038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25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ctrl + z</w:t>
            </w:r>
          </w:p>
          <w:bookmarkEnd w:id="7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5334000" cy="1725038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25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ctrl + c</w:t>
            </w:r>
          </w:p>
          <w:bookmarkEnd w:id="82"/>
        </w:tc>
      </w:tr>
    </w:tbl>
    <w:p>
      <w:pPr>
        <w:pStyle w:val="BodyText"/>
      </w:pPr>
      <w:r>
        <w:t xml:space="preserve">Запускаем процесс на переднем плане без перенаправления вывода, приостанавливаем, возобновляем и завершаем его.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16"/>
          <w:p>
            <w:pPr>
              <w:pStyle w:val="Compact"/>
              <w:jc w:val="center"/>
            </w:pPr>
            <w:r>
              <w:drawing>
                <wp:inline>
                  <wp:extent cx="5334000" cy="1588851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88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yes</w:t>
            </w:r>
          </w:p>
          <w:bookmarkEnd w:id="86"/>
        </w:tc>
      </w:tr>
    </w:tbl>
    <w:p>
      <w:pPr>
        <w:pStyle w:val="BodyText"/>
      </w:pPr>
      <w:r>
        <w:t xml:space="preserve">Проверяем состояния всех заданий. Переводим фоновый процесс на передний план и останавливаем его.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017"/>
          <w:p>
            <w:pPr>
              <w:pStyle w:val="Compact"/>
              <w:jc w:val="center"/>
            </w:pPr>
            <w:r>
              <w:drawing>
                <wp:inline>
                  <wp:extent cx="5334000" cy="1827178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27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17: yes</w:t>
            </w:r>
          </w:p>
          <w:bookmarkEnd w:id="90"/>
        </w:tc>
      </w:tr>
    </w:tbl>
    <w:p>
      <w:pPr>
        <w:pStyle w:val="BodyText"/>
      </w:pPr>
      <w:r>
        <w:t xml:space="preserve">Переводим процесс с перенаправлением вывода в фоновый режим. Проверяем состояния заданий, обращая внимание на процессы, выполняющиеся в фоновом режиме.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4" w:name="fig-018"/>
          <w:p>
            <w:pPr>
              <w:pStyle w:val="Compact"/>
              <w:jc w:val="center"/>
            </w:pPr>
            <w:r>
              <w:drawing>
                <wp:inline>
                  <wp:extent cx="5334000" cy="136525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image/18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6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18: nohup</w:t>
            </w:r>
          </w:p>
          <w:bookmarkEnd w:id="94"/>
        </w:tc>
      </w:tr>
    </w:tbl>
    <w:p>
      <w:pPr>
        <w:pStyle w:val="BodyText"/>
      </w:pPr>
      <w:r>
        <w:t xml:space="preserve">Запускаем процесс таким образом, чтобы он продолжал работу после закрытия терминала.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8" w:name="fig-019"/>
          <w:p>
            <w:pPr>
              <w:pStyle w:val="Compact"/>
              <w:jc w:val="center"/>
            </w:pPr>
            <w:r>
              <w:drawing>
                <wp:inline>
                  <wp:extent cx="5334000" cy="1698657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image/19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9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19: ps -A</w:t>
            </w:r>
          </w:p>
          <w:bookmarkEnd w:id="98"/>
        </w:tc>
      </w:tr>
    </w:tbl>
    <w:p>
      <w:pPr>
        <w:pStyle w:val="BodyText"/>
      </w:pPr>
      <w:r>
        <w:t xml:space="preserve">Закрываем и заново открываем терминал, проверяя продолжение работы процесса. Изучаем информацию о запущенных процессах с помощью системного монитора.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2" w:name="fig-020"/>
          <w:p>
            <w:pPr>
              <w:pStyle w:val="Compact"/>
              <w:jc w:val="center"/>
            </w:pPr>
            <w:r>
              <w:drawing>
                <wp:inline>
                  <wp:extent cx="5321300" cy="3263900"/>
                  <wp:effectExtent b="0" l="0" r="0" t="0"/>
                  <wp:docPr descr="" title="" id="100" name="Picture"/>
                  <a:graphic>
                    <a:graphicData uri="http://schemas.openxmlformats.org/drawingml/2006/picture">
                      <pic:pic>
                        <pic:nvPicPr>
                          <pic:cNvPr descr="image/20.png" id="10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20: yes</w:t>
            </w:r>
          </w:p>
          <w:bookmarkEnd w:id="102"/>
        </w:tc>
      </w:tr>
    </w:tbl>
    <w:p>
      <w:pPr>
        <w:pStyle w:val="BodyText"/>
      </w:pPr>
      <w:r>
        <w:t xml:space="preserve">Запускаем три дополнительных фоновых процесса с перенаправлением вывода. Завершаем два процесса разными способами: по идентификатору процесса и по идентификатору задания.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6" w:name="fig-021"/>
          <w:p>
            <w:pPr>
              <w:pStyle w:val="Compact"/>
              <w:jc w:val="center"/>
            </w:pPr>
            <w:r>
              <w:drawing>
                <wp:inline>
                  <wp:extent cx="4787900" cy="1104900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image/21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21: kill -1</w:t>
            </w:r>
          </w:p>
          <w:bookmarkEnd w:id="106"/>
        </w:tc>
      </w:tr>
    </w:tbl>
    <w:p>
      <w:pPr>
        <w:pStyle w:val="BodyText"/>
      </w:pPr>
      <w:r>
        <w:t xml:space="preserve">Отправляем сигнал завершения процессу, запущенному с защитой от разрыва связи, и обычному процессу, сравнивая их поведение.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0" w:name="fig-022"/>
          <w:p>
            <w:pPr>
              <w:pStyle w:val="Compact"/>
              <w:jc w:val="center"/>
            </w:pPr>
            <w:r>
              <w:drawing>
                <wp:inline>
                  <wp:extent cx="5334000" cy="6462110"/>
                  <wp:effectExtent b="0" l="0" r="0" t="0"/>
                  <wp:docPr descr="" title="" id="108" name="Picture"/>
                  <a:graphic>
                    <a:graphicData uri="http://schemas.openxmlformats.org/drawingml/2006/picture">
                      <pic:pic>
                        <pic:nvPicPr>
                          <pic:cNvPr descr="image/22.png" id="1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6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22: killall</w:t>
            </w:r>
          </w:p>
          <w:bookmarkEnd w:id="110"/>
        </w:tc>
      </w:tr>
    </w:tbl>
    <w:p>
      <w:pPr>
        <w:pStyle w:val="BodyText"/>
      </w:pPr>
      <w:r>
        <w:t xml:space="preserve">Запускаем несколько дополнительных фоновых процессов. Завершаем все процессы одновременно с помощью команды группового завершения.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4" w:name="fig-023"/>
          <w:p>
            <w:pPr>
              <w:pStyle w:val="Compact"/>
              <w:jc w:val="center"/>
            </w:pPr>
            <w:r>
              <w:drawing>
                <wp:inline>
                  <wp:extent cx="5334000" cy="809296"/>
                  <wp:effectExtent b="0" l="0" r="0" t="0"/>
                  <wp:docPr descr="" title="" id="112" name="Picture"/>
                  <a:graphic>
                    <a:graphicData uri="http://schemas.openxmlformats.org/drawingml/2006/picture">
                      <pic:pic>
                        <pic:nvPicPr>
                          <pic:cNvPr descr="image/23.png" id="1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09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23: yes</w:t>
            </w:r>
          </w:p>
          <w:bookmarkEnd w:id="114"/>
        </w:tc>
      </w:tr>
    </w:tbl>
    <w:p>
      <w:pPr>
        <w:pStyle w:val="BodyText"/>
      </w:pPr>
      <w:r>
        <w:t xml:space="preserve">Запускаем два процесса с разными приоритетами и сравниваем их абсолютные и относительные приоритеты.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18" w:name="fig-024"/>
          <w:p>
            <w:pPr>
              <w:pStyle w:val="Compact"/>
              <w:jc w:val="center"/>
            </w:pPr>
            <w:r>
              <w:drawing>
                <wp:inline>
                  <wp:extent cx="4927600" cy="1079500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image/24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24: renice</w:t>
            </w:r>
          </w:p>
          <w:bookmarkEnd w:id="118"/>
        </w:tc>
      </w:tr>
    </w:tbl>
    <w:p>
      <w:pPr>
        <w:pStyle w:val="BodyText"/>
      </w:pPr>
      <w:r>
        <w:t xml:space="preserve">Выравниваем приоритеты двух процессов, изменяя значение приоритета для одного из них.</w:t>
      </w:r>
    </w:p>
    <w:bookmarkEnd w:id="119"/>
    <w:bookmarkStart w:id="120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получили навыки управления процессами операционной системы.</w:t>
      </w:r>
    </w:p>
    <w:bookmarkEnd w:id="120"/>
    <w:bookmarkStart w:id="12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Поттеринг Л. Systemd для администраторов: цикл статей. — 2010. — URL: http:</w:t>
      </w:r>
      <w:r>
        <w:t xml:space="preserve"> </w:t>
      </w:r>
      <w:r>
        <w:t xml:space="preserve">//wiki.opennet.ru/Systemd.</w:t>
      </w:r>
    </w:p>
    <w:p>
      <w:pPr>
        <w:pStyle w:val="Compact"/>
        <w:numPr>
          <w:ilvl w:val="0"/>
          <w:numId w:val="1002"/>
        </w:numPr>
      </w:pPr>
      <w:r>
        <w:t xml:space="preserve">Neil N. J. Learning CentOS: A Beginners Guide to Learning Linux. — CreateSpace Inde-</w:t>
      </w:r>
      <w:r>
        <w:t xml:space="preserve"> </w:t>
      </w:r>
      <w:r>
        <w:t xml:space="preserve">pendent Publishing Platform, 2016.</w:t>
      </w:r>
    </w:p>
    <w:p>
      <w:pPr>
        <w:pStyle w:val="Compact"/>
        <w:numPr>
          <w:ilvl w:val="0"/>
          <w:numId w:val="1002"/>
        </w:numPr>
      </w:pPr>
      <w:r>
        <w:t xml:space="preserve">Systemd. — 2022. — URL: https://wiki.archlinux.org/title/Systemd.</w:t>
      </w:r>
    </w:p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Артём Дмитриевич Петлин</dc:creator>
  <dc:language>ru-RU</dc:language>
  <cp:keywords/>
  <dcterms:created xsi:type="dcterms:W3CDTF">2025-10-10T19:59:15Z</dcterms:created>
  <dcterms:modified xsi:type="dcterms:W3CDTF">2025-10-10T19:59:15Z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