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управлению режимами SELinux (см. раздел 9.4.1).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восстановлению контекста безопасности SELinux (см.</w:t>
      </w:r>
      <w:r>
        <w:t xml:space="preserve"> </w:t>
      </w:r>
      <w:r>
        <w:t xml:space="preserve">раздел 9.4.2).</w:t>
      </w:r>
    </w:p>
    <w:p>
      <w:pPr>
        <w:pStyle w:val="Compact"/>
        <w:numPr>
          <w:ilvl w:val="0"/>
          <w:numId w:val="1001"/>
        </w:numPr>
      </w:pPr>
      <w:r>
        <w:t xml:space="preserve">Настройте контекст безопасности для нестандартного расположения файлов веб-</w:t>
      </w:r>
      <w:r>
        <w:t xml:space="preserve"> </w:t>
      </w:r>
      <w:r>
        <w:t xml:space="preserve">службы (см. раздел 9.4.3).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переключателями SELinux (см. раздел 9.4.4).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SELinux (Security-Enhanced Linux) — реализация мандатного управления доступом в ядре</w:t>
      </w:r>
      <w:r>
        <w:t xml:space="preserve"> </w:t>
      </w:r>
      <w:r>
        <w:t xml:space="preserve">Linux.</w:t>
      </w:r>
      <w:r>
        <w:t xml:space="preserve"> </w:t>
      </w:r>
      <w:r>
        <w:t xml:space="preserve">Мандатное управление доступом (Mandatory Access Control, MAC) — разграничение прав</w:t>
      </w:r>
      <w:r>
        <w:t xml:space="preserve"> </w:t>
      </w:r>
      <w:r>
        <w:t xml:space="preserve">доступа субъектов к объектам системы на базе меток конфиденциальности.</w:t>
      </w:r>
      <w:r>
        <w:t xml:space="preserve"> </w:t>
      </w:r>
      <w:r>
        <w:t xml:space="preserve">Под объектами понимаются файлы, каталоги, устройства операционной системы.</w:t>
      </w:r>
      <w:r>
        <w:t xml:space="preserve"> </w:t>
      </w:r>
      <w:r>
        <w:t xml:space="preserve">В качестве субъектов выступают процессы операционной системы. Метка в SELinux —</w:t>
      </w:r>
      <w:r>
        <w:t xml:space="preserve"> </w:t>
      </w:r>
      <w:r>
        <w:t xml:space="preserve">контекст SELinux, содержащий информацию о принадлежности объекта системы пользователю SELinux, о его роли, типе и уровне безопасности. Основное назначение архитектуры MAC [5] — возможность принудительного назначения административно-установленной политики безопасности над всеми процессами и файлами системы.</w:t>
      </w:r>
      <w:r>
        <w:t xml:space="preserve"> </w:t>
      </w:r>
      <w:r>
        <w:t xml:space="preserve">Политики безопасности SELinux работают поверх стандартного дискреционного управления контролем доступа (Discretionary Access Control, DAC) в Unix/Linux операционных</w:t>
      </w:r>
      <w:r>
        <w:t xml:space="preserve"> </w:t>
      </w:r>
      <w:r>
        <w:t xml:space="preserve">системах.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87396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3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selinux</w:t>
            </w:r>
          </w:p>
          <w:bookmarkEnd w:id="26"/>
        </w:tc>
      </w:tr>
    </w:tbl>
    <w:p>
      <w:pPr>
        <w:pStyle w:val="BodyText"/>
      </w:pPr>
      <w:r>
        <w:t xml:space="preserve">Получаем полномочия администратора. Просматриваем подробную информацию о текущем состоянии SELinux, анализируя вывод команды.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225800" cy="14986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149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getenforce</w:t>
            </w:r>
          </w:p>
          <w:bookmarkEnd w:id="30"/>
        </w:tc>
      </w:tr>
    </w:tbl>
    <w:p>
      <w:pPr>
        <w:pStyle w:val="BodyText"/>
      </w:pPr>
      <w:r>
        <w:t xml:space="preserve">Проверяем текущий режим работы SELinux. Убеждаемся, что по умолчанию используется режим принудительного исполнения. Изменяем режим работы SELinux на разрешающий и подтверждаем изменение текущего режима.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107405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4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disabled</w:t>
            </w:r>
          </w:p>
          <w:bookmarkEnd w:id="34"/>
        </w:tc>
      </w:tr>
    </w:tbl>
    <w:p>
      <w:pPr>
        <w:pStyle w:val="BodyText"/>
      </w:pPr>
      <w:r>
        <w:t xml:space="preserve">Редактируем конфигурационный файл, чтобы полностью отключить SELinux, и перезагружаем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74215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42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getenforce</w:t>
            </w:r>
          </w:p>
          <w:bookmarkEnd w:id="38"/>
        </w:tc>
      </w:tr>
    </w:tbl>
    <w:p>
      <w:pPr>
        <w:pStyle w:val="BodyText"/>
      </w:pPr>
      <w:r>
        <w:t xml:space="preserve">После перезагрузки снова проверяем статус SELinux и убеждаемся, что он отключен. Пытаемся переключить режим работы SELinux без перезагрузки и анализируем реакцию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78743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7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enforcing</w:t>
            </w:r>
          </w:p>
          <w:bookmarkEnd w:id="42"/>
        </w:tc>
      </w:tr>
    </w:tbl>
    <w:p>
      <w:pPr>
        <w:pStyle w:val="BodyText"/>
      </w:pPr>
      <w:r>
        <w:t xml:space="preserve">Возвращаем настройку SELinux в режим принудительного исполнения через конфигурационный файл и перезагружаем систему. Во время загрузки наблюдаем сообщения системы, связанные с восстановлением меток безопасности.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18070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80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setstatus -v</w:t>
            </w:r>
          </w:p>
          <w:bookmarkEnd w:id="46"/>
        </w:tc>
      </w:tr>
    </w:tbl>
    <w:p>
      <w:pPr>
        <w:pStyle w:val="BodyText"/>
      </w:pPr>
      <w:r>
        <w:t xml:space="preserve">После завершения загрузки проверяем, что система работает в принудительном режиме с активным SELinux.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91998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19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restorecon</w:t>
            </w:r>
          </w:p>
          <w:bookmarkEnd w:id="50"/>
        </w:tc>
      </w:tr>
    </w:tbl>
    <w:p>
      <w:pPr>
        <w:pStyle w:val="BodyText"/>
      </w:pPr>
      <w:r>
        <w:t xml:space="preserve">Получаем полномочия администратора. Просматриваем контекст безопасности системного файла. Копируем этот файл в домашний каталог и проверяем, как изменился его контекст безопасности. Перемещаем файл обратно в системный каталог, заменяя оригинал. Убеждаемся, что контекст безопасности файла остался неправильным. Восстанавливаем правильный контекст безопасности для файла с подробным выводом процесса. Проверяем, что контекст безопасности был успешно исправлен. Инициируем массовое восстановление контекстов безопасности во всей файловой системе и перезагружаем систему, наблюдая за процессом перемаркировки.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67638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6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httpd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67638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6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lynx</w:t>
            </w:r>
          </w:p>
          <w:bookmarkEnd w:id="58"/>
        </w:tc>
      </w:tr>
    </w:tbl>
    <w:p>
      <w:pPr>
        <w:pStyle w:val="BodyText"/>
      </w:pPr>
      <w:r>
        <w:t xml:space="preserve">Получаем полномочия администратора. Устанавливаем необходимое программное обеспечение: httpd и lynx.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76512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65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web</w:t>
            </w:r>
          </w:p>
          <w:bookmarkEnd w:id="62"/>
        </w:tc>
      </w:tr>
    </w:tbl>
    <w:p>
      <w:pPr>
        <w:pStyle w:val="BodyText"/>
      </w:pPr>
      <w:r>
        <w:t xml:space="preserve">Создаем новый каталог для файлов веб-сервера вне стандартного расположения. Создаем в этом каталоге тестовую веб-страницу.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47332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DocumentRoot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177187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71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Directory</w:t>
            </w:r>
          </w:p>
          <w:bookmarkEnd w:id="70"/>
        </w:tc>
      </w:tr>
    </w:tbl>
    <w:p>
      <w:pPr>
        <w:pStyle w:val="BodyText"/>
      </w:pPr>
      <w:r>
        <w:t xml:space="preserve">Изменяем конфигурацию веб-сервера, указывая новый каталог в качестве корневого и настраивая правила доступа к нему. Запускаем веб-сервер и добавляем его в автозагрузку.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49099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lynx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531175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11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Red Hat</w:t>
            </w:r>
          </w:p>
          <w:bookmarkEnd w:id="78"/>
        </w:tc>
      </w:tr>
    </w:tbl>
    <w:p>
      <w:pPr>
        <w:pStyle w:val="BodyText"/>
      </w:pPr>
      <w:r>
        <w:t xml:space="preserve">Пытаемся обратиться к веб-серверу через текстовый браузер и обнаруживаем, что отображается стандартная страница, а не наша.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56598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5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semanage | restorecon</w:t>
            </w:r>
          </w:p>
          <w:bookmarkEnd w:id="82"/>
        </w:tc>
      </w:tr>
    </w:tbl>
    <w:p>
      <w:pPr>
        <w:pStyle w:val="BodyText"/>
      </w:pPr>
      <w:r>
        <w:t xml:space="preserve">Добавляем правило в политику SELinux, назначая правильный тип контекста для нового каталога и его содержимого. Восстанавливаем контекст безопасности для нового каталога с рекурсивным применением.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583510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835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lynx</w:t>
            </w:r>
          </w:p>
          <w:bookmarkEnd w:id="86"/>
        </w:tc>
      </w:tr>
    </w:tbl>
    <w:p>
      <w:pPr>
        <w:pStyle w:val="BodyText"/>
      </w:pPr>
      <w:r>
        <w:t xml:space="preserve">Снова обращаемся к веб-серверу и убеждаемся, что теперь отображается наша пользовательская страница. При необходимости перезагружаем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420638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06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getsebool</w:t>
            </w:r>
          </w:p>
          <w:bookmarkEnd w:id="90"/>
        </w:tc>
      </w:tr>
    </w:tbl>
    <w:p>
      <w:pPr>
        <w:pStyle w:val="BodyText"/>
      </w:pPr>
      <w:r>
        <w:t xml:space="preserve">Получаем полномочия администратора. Просматриваем список всех переключателей SELinux, связанных со службой FTP.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334000" cy="201525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15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setsebool</w:t>
            </w:r>
          </w:p>
          <w:bookmarkEnd w:id="94"/>
        </w:tc>
      </w:tr>
    </w:tbl>
    <w:p>
      <w:pPr>
        <w:pStyle w:val="BodyText"/>
      </w:pPr>
      <w:r>
        <w:t xml:space="preserve">Ищем подробное описание переключателей для анонимного доступа FTP, включая их текущее состояние и назначение. Временно изменяем значение одного из переключателей. Проверяем, что значение переключателя изменилось. Снова смотрим подробный список переключателей и обращаем внимание на разницу между временным и постоянным состоянием. Изменяем значение переключателя постоянно. Проверяем окончательное состояние переключателя, убеждаясь, что теперь и временное, и постоянное значения совпадают.</w:t>
      </w:r>
    </w:p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получили навыки работы с контекстом безопасности и политиками SELinux.</w:t>
      </w:r>
    </w:p>
    <w:bookmarkEnd w:id="96"/>
    <w:bookmarkStart w:id="9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UNIX Power Tools / M. Loukides, T. O’Reilly, J. Peek, S. Powers. — O’Reilly Media, 2009.</w:t>
      </w:r>
    </w:p>
    <w:p>
      <w:pPr>
        <w:pStyle w:val="Compact"/>
        <w:numPr>
          <w:ilvl w:val="0"/>
          <w:numId w:val="1002"/>
        </w:numPr>
      </w:pPr>
      <w:r>
        <w:t xml:space="preserve">Робачевский А., Немнюгин С., Стесик О. Операционная система UNIX. — 2-е изд. —</w:t>
      </w:r>
      <w:r>
        <w:t xml:space="preserve"> </w:t>
      </w:r>
      <w:r>
        <w:t xml:space="preserve">БХВ-Петербург, 2010.</w:t>
      </w:r>
    </w:p>
    <w:p>
      <w:pPr>
        <w:pStyle w:val="Compact"/>
        <w:numPr>
          <w:ilvl w:val="0"/>
          <w:numId w:val="1002"/>
        </w:numPr>
      </w:pPr>
      <w:r>
        <w:t xml:space="preserve">Колисниченко Д. Н. Самоучитель системного администратора Linux. — СПб. : БХВ-</w:t>
      </w:r>
      <w:r>
        <w:t xml:space="preserve"> </w:t>
      </w:r>
      <w:r>
        <w:t xml:space="preserve">Петербург, 2011. — (Системный администратор).</w:t>
      </w:r>
    </w:p>
    <w:p>
      <w:pPr>
        <w:pStyle w:val="Compact"/>
        <w:numPr>
          <w:ilvl w:val="0"/>
          <w:numId w:val="1002"/>
        </w:numPr>
      </w:pPr>
      <w:r>
        <w:t xml:space="preserve">Таненбаум Э., Бос Х. Современные операционные системы. — 4-е изд. — СПб. : Питер,</w:t>
      </w:r>
    </w:p>
    <w:p>
      <w:pPr>
        <w:pStyle w:val="Compact"/>
        <w:numPr>
          <w:ilvl w:val="0"/>
          <w:numId w:val="1002"/>
        </w:numPr>
      </w:pPr>
      <w:r>
        <w:t xml:space="preserve">— (Классика Computer Science).</w:t>
      </w:r>
    </w:p>
    <w:p>
      <w:pPr>
        <w:pStyle w:val="Compact"/>
        <w:numPr>
          <w:ilvl w:val="0"/>
          <w:numId w:val="1002"/>
        </w:numPr>
      </w:pPr>
      <w:r>
        <w:t xml:space="preserve">Neil N. J. Learning CentOS: A Beginners Guide to Learning Linux. — CreateSpace Inde-</w:t>
      </w:r>
      <w:r>
        <w:t xml:space="preserve"> </w:t>
      </w:r>
      <w:r>
        <w:t xml:space="preserve">pendent Publishing Platform, 2016.</w:t>
      </w:r>
    </w:p>
    <w:p>
      <w:pPr>
        <w:pStyle w:val="Compact"/>
        <w:numPr>
          <w:ilvl w:val="0"/>
          <w:numId w:val="1002"/>
        </w:numPr>
      </w:pPr>
      <w:r>
        <w:t xml:space="preserve">Goyal S. K. Precise Guide to Centos 7: Beginners guide and quick reference. — Indepen-</w:t>
      </w:r>
      <w:r>
        <w:t xml:space="preserve"> </w:t>
      </w:r>
      <w:r>
        <w:t xml:space="preserve">dently published, 2017.</w:t>
      </w:r>
    </w:p>
    <w:p>
      <w:pPr>
        <w:pStyle w:val="Compact"/>
        <w:numPr>
          <w:ilvl w:val="0"/>
          <w:numId w:val="1002"/>
        </w:numPr>
      </w:pPr>
      <w:r>
        <w:t xml:space="preserve">Unix и Linux: руководство системного администратора / Э. Немет, Г. Снайдер, Т.</w:t>
      </w:r>
      <w:r>
        <w:t xml:space="preserve"> </w:t>
      </w:r>
      <w:r>
        <w:t xml:space="preserve">Хейн, Б. Уэйли, Д. Макни. — 5-е изд. — СПб. : ООО «Диалектика», 2020.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Артём Дмитриевич Петлин</dc:creator>
  <dc:language>ru-RU</dc:language>
  <cp:keywords/>
  <dcterms:created xsi:type="dcterms:W3CDTF">2025-11-01T18:17:34Z</dcterms:created>
  <dcterms:modified xsi:type="dcterms:W3CDTF">2025-11-01T18:17:34Z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