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语音播报内容脚本"/>
    <w:p>
      <w:pPr>
        <w:pStyle w:val="Heading1"/>
      </w:pPr>
      <w:r>
        <w:t xml:space="preserve">语音播报内容脚本</w:t>
      </w:r>
    </w:p>
    <w:bookmarkStart w:id="20" w:name="市场概要播报"/>
    <w:p>
      <w:pPr>
        <w:pStyle w:val="Heading2"/>
      </w:pPr>
      <w:r>
        <w:t xml:space="preserve">1. 市场概要播报</w:t>
      </w:r>
    </w:p>
    <w:p>
      <w:pPr>
        <w:pStyle w:val="FirstParagraph"/>
      </w:pPr>
      <w:r>
        <w:t xml:space="preserve">大家好，现在为您播报2025年9月30日金融市场概要。美股第三季度在积极氛围中收官，道琼斯、标普500和纳斯达克均录得历史收盘新高。黄金一度触及每盎司3900美元的纪录高位。科技、通信和工业板块领跑年内涨幅，英伟达上涨超过2%，特斯拉和微软小幅走高。市场仍需关注美国政府停摆风险和美联储政策走向。</w:t>
      </w:r>
    </w:p>
    <w:bookmarkEnd w:id="20"/>
    <w:bookmarkStart w:id="21" w:name="主要股指表现播报"/>
    <w:p>
      <w:pPr>
        <w:pStyle w:val="Heading2"/>
      </w:pPr>
      <w:r>
        <w:t xml:space="preserve">2. 主要股指表现播报</w:t>
      </w:r>
    </w:p>
    <w:p>
      <w:pPr>
        <w:pStyle w:val="FirstParagraph"/>
      </w:pPr>
      <w:r>
        <w:t xml:space="preserve">现在播报三大股指表现。道琼斯工业平均指数收盘于46397点89点，上涨81点82点，涨幅为0.18%，再创历史新高。9月累计上涨1.87%，为2019年以来最大的9月涨幅。标准普尔500指数收盘于6688点46点，上涨27点25点，涨幅为0.41%，连续第五个月上涨。纳斯达克综合指数收盘于22660点01点，上涨68点86点，涨幅为0.31%，连续第六个月上涨。</w:t>
      </w:r>
    </w:p>
    <w:bookmarkEnd w:id="21"/>
    <w:bookmarkStart w:id="22" w:name="科技股表现播报"/>
    <w:p>
      <w:pPr>
        <w:pStyle w:val="Heading2"/>
      </w:pPr>
      <w:r>
        <w:t xml:space="preserve">3. 科技股表现播报</w:t>
      </w:r>
    </w:p>
    <w:p>
      <w:pPr>
        <w:pStyle w:val="FirstParagraph"/>
      </w:pPr>
      <w:r>
        <w:t xml:space="preserve">现在关注科技七巨头表现。英伟达今日表现出色，上涨2.6%，收盘价186点58美元，受益于AI芯片需求强劲。微软上涨0.65%，收盘价517点95美元。特斯拉上涨0.34%，收盘价444点72美元。苹果几乎收平，上涨0.08%。谷歌母公司、亚马逊和Meta则出现下跌，分别下跌0.39%、1.17%和1.21%。</w:t>
      </w:r>
    </w:p>
    <w:bookmarkEnd w:id="22"/>
    <w:bookmarkStart w:id="23" w:name="行业轮动播报"/>
    <w:p>
      <w:pPr>
        <w:pStyle w:val="Heading2"/>
      </w:pPr>
      <w:r>
        <w:t xml:space="preserve">4. 行业轮动播报</w:t>
      </w:r>
    </w:p>
    <w:p>
      <w:pPr>
        <w:pStyle w:val="FirstParagraph"/>
      </w:pPr>
      <w:r>
        <w:t xml:space="preserve">行业表现分化明显。年初至今表现最佳的是工业板块，涨幅16.05%，其次是通信服务板块，涨幅15.68%。公用事业板块也表现不俗，涨幅13.01%。金融板块涨幅12.48%，被视为“便宜”板块。材料板块涨幅10.76%。科技板块涨幅9.64%，受人工智能驱动。医疗保健板块表现最弱，仅上涨0.77%。</w:t>
      </w:r>
    </w:p>
    <w:bookmarkEnd w:id="23"/>
    <w:bookmarkStart w:id="24" w:name="大宗商品播报"/>
    <w:p>
      <w:pPr>
        <w:pStyle w:val="Heading2"/>
      </w:pPr>
      <w:r>
        <w:t xml:space="preserve">5. 大宗商品播报</w:t>
      </w:r>
    </w:p>
    <w:p>
      <w:pPr>
        <w:pStyle w:val="FirstParagraph"/>
      </w:pPr>
      <w:r>
        <w:t xml:space="preserve">大宗商品市场表现分化。黄金价格继续强劲，上涨0.7%，收于每盎司3885美元，盘中一度触及3900美元的纪录高位。9月金价累计上涨超过10%。原油市场持续下跌，西德克萨斯中质原油下跌1.5%至62点50美元每桶，布伦特原油下跌1.3%至67点10美元每桶。比特币较前一交易日略有反弹，报价11万4500美元。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2025-10-01T00:57:09Z</dcterms:created>
  <dcterms:modified xsi:type="dcterms:W3CDTF">2025-10-01T00:57:09Z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