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media/image3.png" ContentType="image/png"/>
  <Override PartName="/word/media/image2.png" ContentType="image/png"/>
  <Override PartName="/word/media/image1.tif" ContentType="image/t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449" w:leader="none"/>
        </w:tabs>
        <w:rPr>
          <w:rFonts w:ascii="Times New Roman" w:hAnsi="Times New Roman"/>
        </w:rPr>
      </w:pPr>
      <w:r>
        <w:rPr>
          <w:rFonts w:ascii="Times New Roman" w:hAnsi="Times New Roman"/>
        </w:rPr>
        <w:t>Educational attainment and the retreat from the Philadelphia short-a system</w:t>
        <w:br/>
        <w:br/>
        <w:t>Hilary Prichard (University of Pennsylvania)</w:t>
      </w:r>
      <w:r/>
    </w:p>
    <w:p>
      <w:pPr>
        <w:pStyle w:val="Normal"/>
        <w:rPr>
          <w:rFonts w:ascii="Times New Roman" w:hAnsi="Times New Roman"/>
        </w:rPr>
      </w:pPr>
      <w:r>
        <w:rPr>
          <w:rFonts w:ascii="Times New Roman" w:hAnsi="Times New Roman"/>
        </w:rPr>
        <w:t>Kyle Gorman (Oregon Health &amp; Science University)</w:t>
      </w:r>
      <w:r/>
    </w:p>
    <w:p>
      <w:pPr>
        <w:pStyle w:val="Normal"/>
        <w:rPr>
          <w:rFonts w:ascii="Times New Roman" w:hAnsi="Times New Roman"/>
          <w:color w:val="00000A"/>
        </w:rPr>
      </w:pPr>
      <w:r>
        <w:rPr>
          <w:rFonts w:ascii="Times New Roman" w:hAnsi="Times New Roman"/>
        </w:rPr>
      </w:r>
      <w:r/>
    </w:p>
    <w:p>
      <w:pPr>
        <w:pStyle w:val="Normal"/>
        <w:rPr>
          <w:b/>
          <w:b/>
          <w:bCs/>
          <w:rFonts w:ascii="Times New Roman" w:hAnsi="Times New Roman"/>
        </w:rPr>
      </w:pPr>
      <w:r>
        <w:rPr>
          <w:rFonts w:ascii="Times New Roman" w:hAnsi="Times New Roman"/>
          <w:b/>
          <w:bCs/>
        </w:rPr>
        <w:t>Introduction</w:t>
      </w:r>
      <w:r/>
    </w:p>
    <w:p>
      <w:pPr>
        <w:pStyle w:val="Normal"/>
        <w:rPr>
          <w:b/>
          <w:b/>
          <w:bCs/>
          <w:rFonts w:ascii="Times New Roman" w:hAnsi="Times New Roman"/>
          <w:color w:val="00000A"/>
        </w:rPr>
      </w:pPr>
      <w:r>
        <w:rPr>
          <w:rFonts w:ascii="Times New Roman" w:hAnsi="Times New Roman"/>
          <w:b/>
          <w:bCs/>
        </w:rPr>
      </w:r>
      <w:r/>
    </w:p>
    <w:p>
      <w:pPr>
        <w:pStyle w:val="Normal"/>
        <w:rPr>
          <w:b/>
          <w:b/>
          <w:bCs/>
          <w:rFonts w:ascii="Times New Roman" w:hAnsi="Times New Roman"/>
        </w:rPr>
      </w:pPr>
      <w:r>
        <w:rPr>
          <w:rFonts w:ascii="Times New Roman" w:hAnsi="Times New Roman"/>
          <w:b/>
          <w:bCs/>
        </w:rPr>
        <w:t>Short-a in Philadelphia</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 xml:space="preserve">In Early Modern English, short-a underwent irregular lengthening and tensing before the voiceless fricatives /f, θ, s/ and nasals /m, n/; reflexes of this pattern are present in Mid-Atlantic dialects of American English as well as in various British dialects (see Wells 1982:203f.). Labov (1981) argues that the distribution of the tense and lax phonemes in the Mid-Atlantic is no longer governed by allophonic rules, but rather is the product of a complex phonemic split. In addition to the existence of several minimal pairs (e.g., the lax modal auxiliary </w:t>
      </w:r>
      <w:r>
        <w:rPr>
          <w:rFonts w:ascii="Times New Roman" w:hAnsi="Times New Roman"/>
          <w:i/>
          <w:iCs/>
        </w:rPr>
        <w:t>can</w:t>
      </w:r>
      <w:r>
        <w:rPr>
          <w:rFonts w:ascii="Times New Roman" w:hAnsi="Times New Roman"/>
        </w:rPr>
        <w:t xml:space="preserve"> vs. the tense noun </w:t>
      </w:r>
      <w:r>
        <w:rPr>
          <w:rFonts w:ascii="Times New Roman" w:hAnsi="Times New Roman"/>
          <w:i/>
          <w:iCs/>
        </w:rPr>
        <w:t>can</w:t>
      </w:r>
      <w:r>
        <w:rPr>
          <w:rFonts w:ascii="Times New Roman" w:hAnsi="Times New Roman"/>
        </w:rPr>
        <w:t>), Payne (1980) finds that children born out-of-state who move to the Philadelphia metropolitan area fail to acquire the local short-a distribution, though they participate fully in other regional sound changes, which are largely allophonic or phonologically unconditioned.</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Ferguson (1972) provides one of the first descriptions of the rules underlying the traditional Philadelphia split short-a system. Ferguson's research was carried out between 1940 and 1960, and is based on his own native speaker intuition, supplemented by natural observation and judgments from informants, mostly young men who attended the University of Pennsylvania. Ferguson first defines the phonetic quality of the two phonemes which make up the split system, noting that (æ) is low, front, unrounded, monophthongal---essentially of the same quality as most other varieties of English---while (æh) by contrast is diphthongal, and can be raised to [ɛə] or [eə]. As to the general rule governing which phoneme surfaces, Ferguson gives:</w:t>
      </w:r>
      <w:r/>
    </w:p>
    <w:p>
      <w:pPr>
        <w:pStyle w:val="Normal"/>
        <w:ind w:left="360" w:hanging="0"/>
        <w:rPr>
          <w:rFonts w:ascii="Times New Roman" w:hAnsi="Times New Roman"/>
          <w:color w:val="00000A"/>
        </w:rPr>
      </w:pPr>
      <w:r>
        <w:rPr>
          <w:rFonts w:ascii="Times New Roman" w:hAnsi="Times New Roman"/>
        </w:rPr>
      </w:r>
      <w:r/>
    </w:p>
    <w:p>
      <w:pPr>
        <w:pStyle w:val="Normal"/>
        <w:ind w:left="360" w:hanging="0"/>
        <w:rPr>
          <w:rFonts w:ascii="Times New Roman" w:hAnsi="Times New Roman"/>
        </w:rPr>
      </w:pPr>
      <w:r>
        <w:rPr>
          <w:rFonts w:ascii="Times New Roman" w:hAnsi="Times New Roman"/>
        </w:rPr>
        <w:t>(1) The “traditional” pattern (after Ferguson 1972:262):</w:t>
        <w:br/>
        <w:br/>
        <w:drawing>
          <wp:anchor behindDoc="0" distT="0" distB="0" distL="114300" distR="114300" simplePos="0" locked="0" layoutInCell="1" allowOverlap="1" relativeHeight="2">
            <wp:simplePos x="0" y="0"/>
            <wp:positionH relativeFrom="column">
              <wp:posOffset>2057400</wp:posOffset>
            </wp:positionH>
            <wp:positionV relativeFrom="paragraph">
              <wp:posOffset>412115</wp:posOffset>
            </wp:positionV>
            <wp:extent cx="2518410" cy="131699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518410" cy="1316990"/>
                    </a:xfrm>
                    <a:prstGeom prst="rect">
                      <a:avLst/>
                    </a:prstGeom>
                    <a:noFill/>
                    <a:ln w="9525">
                      <a:noFill/>
                      <a:miter lim="800000"/>
                      <a:headEnd/>
                      <a:tailEnd/>
                    </a:ln>
                  </pic:spPr>
                </pic:pic>
              </a:graphicData>
            </a:graphic>
          </wp:anchor>
        </w:drawing>
      </w:r>
      <w:r/>
    </w:p>
    <w:p>
      <w:pPr>
        <w:pStyle w:val="Normal"/>
        <w:rPr>
          <w:rFonts w:ascii="Times New Roman" w:hAnsi="Times New Roman"/>
        </w:rPr>
      </w:pPr>
      <w:r>
        <w:rPr>
          <w:rFonts w:ascii="Times New Roman" w:hAnsi="Times New Roman"/>
        </w:rPr>
        <w:t xml:space="preserve">Ferguson identifies numerous exceptions to this rule. For instance, there are two main categories of lexical items which have the lax phoneme rather than the tense phoneme predicted by (1): the verbs </w:t>
      </w:r>
      <w:r>
        <w:rPr>
          <w:rFonts w:ascii="Times New Roman" w:hAnsi="Times New Roman"/>
          <w:i/>
          <w:iCs/>
        </w:rPr>
        <w:t>am, can, ran, began, hast,</w:t>
      </w:r>
      <w:r>
        <w:rPr>
          <w:rFonts w:ascii="Times New Roman" w:hAnsi="Times New Roman"/>
        </w:rPr>
        <w:t xml:space="preserve"> and </w:t>
      </w:r>
      <w:r>
        <w:rPr>
          <w:rFonts w:ascii="Times New Roman" w:hAnsi="Times New Roman"/>
          <w:i/>
          <w:iCs/>
        </w:rPr>
        <w:t xml:space="preserve">hath, </w:t>
      </w:r>
      <w:r>
        <w:rPr>
          <w:rFonts w:ascii="Times New Roman" w:hAnsi="Times New Roman"/>
        </w:rPr>
        <w:t xml:space="preserve">and the “learned words” such as </w:t>
      </w:r>
      <w:r>
        <w:rPr>
          <w:rFonts w:ascii="Times New Roman" w:hAnsi="Times New Roman"/>
          <w:i/>
          <w:iCs/>
        </w:rPr>
        <w:t xml:space="preserve">aft, crass, daft, damsel, gaffe, lass, </w:t>
      </w:r>
      <w:r>
        <w:rPr>
          <w:rFonts w:ascii="Times New Roman" w:hAnsi="Times New Roman"/>
        </w:rPr>
        <w:t xml:space="preserve">and </w:t>
      </w:r>
      <w:r>
        <w:rPr>
          <w:rFonts w:ascii="Times New Roman" w:hAnsi="Times New Roman"/>
          <w:i/>
          <w:iCs/>
        </w:rPr>
        <w:t xml:space="preserve">wrath </w:t>
      </w:r>
      <w:r>
        <w:rPr>
          <w:rFonts w:ascii="Times New Roman" w:hAnsi="Times New Roman"/>
        </w:rPr>
        <w:t xml:space="preserve">(264). Conversely, the “adjectives of emotion” </w:t>
      </w:r>
      <w:r>
        <w:rPr>
          <w:rFonts w:ascii="Times New Roman" w:hAnsi="Times New Roman"/>
          <w:i/>
          <w:iCs/>
        </w:rPr>
        <w:t xml:space="preserve">mad, bad, </w:t>
      </w:r>
      <w:r>
        <w:rPr>
          <w:rFonts w:ascii="Times New Roman" w:hAnsi="Times New Roman"/>
        </w:rPr>
        <w:t xml:space="preserve">and </w:t>
      </w:r>
      <w:r>
        <w:rPr>
          <w:rFonts w:ascii="Times New Roman" w:hAnsi="Times New Roman"/>
          <w:i/>
          <w:iCs/>
        </w:rPr>
        <w:t>glad</w:t>
      </w:r>
      <w:r>
        <w:rPr>
          <w:rFonts w:ascii="Times New Roman" w:hAnsi="Times New Roman"/>
        </w:rPr>
        <w:t xml:space="preserve"> have the tense phoneme even though following [d] is not a regular tensing environment (263). In addition to these lexical exceptions, there are three classes of morphophonological exceptions. First, words like </w:t>
      </w:r>
      <w:r>
        <w:rPr>
          <w:rFonts w:ascii="Times New Roman" w:hAnsi="Times New Roman"/>
          <w:i/>
          <w:iCs/>
        </w:rPr>
        <w:t>passing</w:t>
      </w:r>
      <w:r>
        <w:rPr>
          <w:rFonts w:ascii="Times New Roman" w:hAnsi="Times New Roman"/>
        </w:rPr>
        <w:t xml:space="preserve"> and </w:t>
      </w:r>
      <w:r>
        <w:rPr>
          <w:rFonts w:ascii="Times New Roman" w:hAnsi="Times New Roman"/>
          <w:i/>
          <w:iCs/>
        </w:rPr>
        <w:t>classes</w:t>
      </w:r>
      <w:r>
        <w:rPr>
          <w:rFonts w:ascii="Times New Roman" w:hAnsi="Times New Roman"/>
        </w:rPr>
        <w:t xml:space="preserve">, which fail to meet the conditions of (1) due to the addition of inflectional suffixes (the progressive/future/gerund suffix /-ɪŋ/, the noun plural suffix /-z/, the third-person singular active indicative agreement suffix /-z/, the regular past/past participle suffix /-d/, and perhaps the agentive </w:t>
        <w:br/>
        <w:t>/-ɚ/) are tense; Ferguson calls this the “preservation of stem identity”. On the other hand, tensing does not occur when the context in (1) is met due to shortening (</w:t>
      </w:r>
      <w:r>
        <w:rPr>
          <w:rFonts w:ascii="Times New Roman" w:hAnsi="Times New Roman"/>
          <w:i/>
          <w:iCs/>
        </w:rPr>
        <w:t>math</w:t>
      </w:r>
      <w:r>
        <w:rPr>
          <w:rFonts w:ascii="Times New Roman" w:hAnsi="Times New Roman"/>
        </w:rPr>
        <w:t xml:space="preserve">, </w:t>
      </w:r>
      <w:r>
        <w:rPr>
          <w:rFonts w:ascii="Times New Roman" w:hAnsi="Times New Roman"/>
          <w:i/>
          <w:iCs/>
        </w:rPr>
        <w:t>exam</w:t>
      </w:r>
      <w:r>
        <w:rPr>
          <w:rFonts w:ascii="Times New Roman" w:hAnsi="Times New Roman"/>
        </w:rPr>
        <w:t>) or schwa-elision (</w:t>
      </w:r>
      <w:r>
        <w:rPr>
          <w:rFonts w:ascii="Times New Roman" w:hAnsi="Times New Roman"/>
          <w:i/>
          <w:iCs/>
        </w:rPr>
        <w:t>family, camera</w:t>
      </w:r>
      <w:r>
        <w:rPr>
          <w:rFonts w:ascii="Times New Roman" w:hAnsi="Times New Roman"/>
        </w:rPr>
        <w:t xml:space="preserve">, </w:t>
      </w:r>
      <w:r>
        <w:rPr>
          <w:rFonts w:ascii="Times New Roman" w:hAnsi="Times New Roman"/>
          <w:i/>
          <w:iCs/>
        </w:rPr>
        <w:t>Catholic</w:t>
      </w:r>
      <w:r>
        <w:rPr>
          <w:rFonts w:ascii="Times New Roman" w:hAnsi="Times New Roman"/>
        </w:rPr>
        <w:t>)</w:t>
      </w:r>
      <w:r>
        <w:rPr>
          <w:rFonts w:ascii="Times New Roman" w:hAnsi="Times New Roman"/>
          <w:i/>
          <w:iCs/>
        </w:rPr>
        <w:t xml:space="preserve">. </w:t>
      </w:r>
      <w:r>
        <w:rPr>
          <w:rFonts w:ascii="Times New Roman" w:hAnsi="Times New Roman"/>
        </w:rPr>
        <w:t xml:space="preserve">Finally, according to Ferguson, short-a is not tense in an initial stressed syllable when followed by </w:t>
      </w:r>
      <w:r>
        <w:rPr>
          <w:rFonts w:ascii="Times New Roman" w:hAnsi="Times New Roman"/>
          <w:i/>
          <w:iCs/>
        </w:rPr>
        <w:t xml:space="preserve">-sp, -sf, </w:t>
      </w:r>
      <w:r>
        <w:rPr>
          <w:rFonts w:ascii="Times New Roman" w:hAnsi="Times New Roman"/>
        </w:rPr>
        <w:t xml:space="preserve">or </w:t>
      </w:r>
      <w:r>
        <w:rPr>
          <w:rFonts w:ascii="Times New Roman" w:hAnsi="Times New Roman"/>
          <w:i/>
          <w:iCs/>
        </w:rPr>
        <w:t xml:space="preserve">-sb </w:t>
      </w:r>
      <w:r>
        <w:rPr>
          <w:rFonts w:ascii="Times New Roman" w:hAnsi="Times New Roman"/>
        </w:rPr>
        <w:t>(</w:t>
      </w:r>
      <w:r>
        <w:rPr>
          <w:rFonts w:ascii="Times New Roman" w:hAnsi="Times New Roman"/>
          <w:i/>
          <w:iCs/>
        </w:rPr>
        <w:t>aspirin, asphalt, asbestos</w:t>
      </w:r>
      <w:r>
        <w:rPr>
          <w:rFonts w:ascii="Times New Roman" w:hAnsi="Times New Roman"/>
        </w:rPr>
        <w:t>).</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Labov (1989, 1994) builds on Ferguson's description, formalizing additional rules and investigating possible exceptions using data from LCV, a corpus of sociolinguistic interviews collected in Philadelphia between 1973 and 1977. Whereas Ferguson's rule (1) requires that a tensing consonant be word-final or followed by another consonant, Labov specifically refers to a requirement that the tensing consonant is tautosyllabic (1994: 430). The result is that tensing is limited to closed syllables. He adds that the addition of inflectional suffixes does not affect the distribution of the tense and lax phonemes, whereas there is extensive variation associated with derivational suffixes.</w:t>
      </w:r>
      <w:r>
        <w:rPr>
          <w:rFonts w:ascii="Times New Roman" w:hAnsi="Times New Roman"/>
          <w:i/>
          <w:iCs/>
        </w:rPr>
        <w:t xml:space="preserve"> </w:t>
      </w:r>
      <w:r>
        <w:rPr>
          <w:rFonts w:ascii="Times New Roman" w:hAnsi="Times New Roman"/>
        </w:rPr>
        <w:t>Labov also finds variation when short-a is followed by /st/ clusters (</w:t>
      </w:r>
      <w:r>
        <w:rPr>
          <w:rFonts w:ascii="Times New Roman" w:hAnsi="Times New Roman"/>
          <w:i/>
          <w:iCs/>
        </w:rPr>
        <w:t>master, plaster</w:t>
      </w:r>
      <w:r>
        <w:rPr>
          <w:rFonts w:ascii="Times New Roman" w:hAnsi="Times New Roman"/>
        </w:rPr>
        <w:t xml:space="preserve">), and observes possible extension of tensing to contexts where short-a is followed by nasal-vowel or lateral-vowel sequences such as </w:t>
      </w:r>
      <w:r>
        <w:rPr>
          <w:rFonts w:ascii="Times New Roman" w:hAnsi="Times New Roman"/>
          <w:i/>
          <w:iCs/>
        </w:rPr>
        <w:t xml:space="preserve">planet </w:t>
      </w:r>
      <w:r>
        <w:rPr>
          <w:rFonts w:ascii="Times New Roman" w:hAnsi="Times New Roman"/>
        </w:rPr>
        <w:t>or</w:t>
      </w:r>
      <w:r>
        <w:rPr>
          <w:rFonts w:ascii="Times New Roman" w:hAnsi="Times New Roman"/>
          <w:i/>
          <w:iCs/>
        </w:rPr>
        <w:t xml:space="preserve"> personality</w:t>
      </w:r>
      <w:r>
        <w:rPr>
          <w:rFonts w:ascii="Times New Roman" w:hAnsi="Times New Roman"/>
        </w:rPr>
        <w:t xml:space="preserve"> (1994: 433). He finds that the exceptional status of </w:t>
      </w:r>
      <w:r>
        <w:rPr>
          <w:rFonts w:ascii="Times New Roman" w:hAnsi="Times New Roman"/>
          <w:i/>
          <w:iCs/>
        </w:rPr>
        <w:t xml:space="preserve">mad, bad, glad </w:t>
      </w:r>
      <w:r>
        <w:rPr>
          <w:rFonts w:ascii="Times New Roman" w:hAnsi="Times New Roman"/>
        </w:rPr>
        <w:t xml:space="preserve">is truly lexical, citing the contrast of tense </w:t>
      </w:r>
      <w:r>
        <w:rPr>
          <w:rFonts w:ascii="Times New Roman" w:hAnsi="Times New Roman"/>
          <w:i/>
          <w:iCs/>
        </w:rPr>
        <w:t>bad</w:t>
      </w:r>
      <w:r>
        <w:rPr>
          <w:rFonts w:ascii="Times New Roman" w:hAnsi="Times New Roman"/>
        </w:rPr>
        <w:t xml:space="preserve"> with lax </w:t>
      </w:r>
      <w:r>
        <w:rPr>
          <w:rFonts w:ascii="Times New Roman" w:hAnsi="Times New Roman"/>
          <w:i/>
          <w:iCs/>
        </w:rPr>
        <w:t>badminton</w:t>
      </w:r>
      <w:r>
        <w:rPr>
          <w:rFonts w:ascii="Times New Roman" w:hAnsi="Times New Roman"/>
        </w:rPr>
        <w:t xml:space="preserve">, and tense </w:t>
      </w:r>
      <w:r>
        <w:rPr>
          <w:rFonts w:ascii="Times New Roman" w:hAnsi="Times New Roman"/>
          <w:i/>
          <w:iCs/>
        </w:rPr>
        <w:t>glad</w:t>
      </w:r>
      <w:r>
        <w:rPr>
          <w:rFonts w:ascii="Times New Roman" w:hAnsi="Times New Roman"/>
        </w:rPr>
        <w:t xml:space="preserve"> with lax </w:t>
      </w:r>
      <w:r>
        <w:rPr>
          <w:rFonts w:ascii="Times New Roman" w:hAnsi="Times New Roman"/>
          <w:i/>
          <w:iCs/>
        </w:rPr>
        <w:t xml:space="preserve">Gladstone </w:t>
      </w:r>
      <w:r>
        <w:rPr>
          <w:rFonts w:ascii="Times New Roman" w:hAnsi="Times New Roman"/>
        </w:rPr>
        <w:t>(1989: 17).</w:t>
      </w:r>
      <w:r/>
    </w:p>
    <w:p>
      <w:pPr>
        <w:pStyle w:val="Normal"/>
        <w:rPr>
          <w:b/>
          <w:b/>
          <w:bCs/>
          <w:rFonts w:ascii="Times New Roman" w:hAnsi="Times New Roman"/>
          <w:color w:val="00000A"/>
        </w:rPr>
      </w:pPr>
      <w:r>
        <w:rPr>
          <w:rFonts w:ascii="Times New Roman" w:hAnsi="Times New Roman"/>
          <w:b/>
          <w:bCs/>
        </w:rPr>
      </w:r>
      <w:r/>
    </w:p>
    <w:p>
      <w:pPr>
        <w:pStyle w:val="Normal"/>
        <w:rPr>
          <w:b/>
          <w:b/>
          <w:bCs/>
          <w:rFonts w:ascii="Times New Roman" w:hAnsi="Times New Roman"/>
        </w:rPr>
      </w:pPr>
      <w:r>
        <w:rPr>
          <w:rFonts w:ascii="Times New Roman" w:hAnsi="Times New Roman"/>
          <w:b/>
          <w:bCs/>
        </w:rPr>
        <w:t>Materials and methods</w:t>
      </w:r>
      <w:r/>
    </w:p>
    <w:p>
      <w:pPr>
        <w:pStyle w:val="Normal"/>
        <w:rPr>
          <w:b/>
          <w:b/>
          <w:bCs/>
          <w:rFonts w:ascii="Times New Roman" w:hAnsi="Times New Roman"/>
          <w:color w:val="00000A"/>
        </w:rPr>
      </w:pPr>
      <w:r>
        <w:rPr>
          <w:rFonts w:ascii="Times New Roman" w:hAnsi="Times New Roman"/>
          <w:b/>
          <w:bCs/>
        </w:rPr>
      </w:r>
      <w:r/>
    </w:p>
    <w:p>
      <w:pPr>
        <w:pStyle w:val="Normal"/>
        <w:rPr>
          <w:rFonts w:ascii="Times New Roman" w:hAnsi="Times New Roman"/>
        </w:rPr>
      </w:pPr>
      <w:r>
        <w:rPr>
          <w:rFonts w:ascii="Times New Roman" w:hAnsi="Times New Roman"/>
        </w:rPr>
        <w:t>We employ a data-driven approach to the coding of the Philadelphia short-a system, similar to that in Labov 1989. The data is comprised of 301 white adult speakers from the Philadelphia Neighborhood Corpus (Labov et al. 2013). Vowel tokens were automatically measured using FAVE version 1.1.3 (Rosenfelder et al. 2014).</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Both authors visually inspected plots for each speaker, and speakers were excluded from the recoding process if there was consensus that the speaker did not conform to the traditional Philadelphia system as described above. Furthermore, speakers were excluded from this process if they did not produce at least five tokens of both the tense and lax variants. In all a subset of 229 speakers provided the data used to improve short-a coding.</w:t>
      </w:r>
      <w:r/>
    </w:p>
    <w:p>
      <w:pPr>
        <w:pStyle w:val="Normal"/>
        <w:rPr>
          <w:rFonts w:ascii="Times New Roman" w:hAnsi="Times New Roman"/>
          <w:color w:val="00000A"/>
        </w:rPr>
      </w:pPr>
      <w:r>
        <w:rPr>
          <w:rFonts w:ascii="Times New Roman" w:hAnsi="Times New Roman"/>
        </w:rPr>
      </w:r>
      <w:r/>
    </w:p>
    <w:p>
      <w:pPr>
        <w:pStyle w:val="Normal"/>
      </w:pPr>
      <w:r>
        <w:rPr>
          <w:rFonts w:ascii="Times New Roman" w:hAnsi="Times New Roman"/>
        </w:rPr>
        <w:t>Unstressed f</w:t>
      </w:r>
      <w:r>
        <w:rPr>
          <w:rFonts w:ascii="Times New Roman" w:hAnsi="Times New Roman"/>
        </w:rPr>
        <w:t xml:space="preserve">unction words, which are often significantly reduced, were excluded from analysis, using a list from Selkirk 1984 (352-352). Similarly, </w:t>
      </w:r>
      <w:r>
        <w:rPr>
          <w:rFonts w:ascii="Times New Roman" w:hAnsi="Times New Roman"/>
          <w:bCs/>
        </w:rPr>
        <w:t xml:space="preserve">this analysis was restricted to primary-stress tokens only. </w:t>
      </w:r>
      <w:r>
        <w:rPr>
          <w:rFonts w:ascii="Times New Roman" w:hAnsi="Times New Roman"/>
        </w:rPr>
        <w:t>Formant measurements were converted from Hertz to Mel (Stevens and Volkmann 1940), and then normalized using the speaker-intrinsic, vowel-extrinsic Lobanov method. Mel space is used by phoneticians to better represent non-linearities in human speech perception.</w:t>
      </w:r>
      <w:r>
        <w:rPr>
          <w:rStyle w:val="FootnoteAnchor"/>
          <w:rFonts w:ascii="Times New Roman" w:hAnsi="Times New Roman"/>
        </w:rPr>
        <w:footnoteReference w:id="2"/>
      </w:r>
      <w:r>
        <w:rPr>
          <w:rFonts w:ascii="Times New Roman" w:hAnsi="Times New Roman"/>
        </w:rPr>
        <w:t xml:space="preserve"> </w:t>
      </w:r>
      <w:r>
        <w:rPr>
          <w:rFonts w:ascii="Times New Roman" w:hAnsi="Times New Roman"/>
          <w:bCs/>
        </w:rPr>
        <w:t>The combination of the Mel transform and Lobanov normalization allows us to better represent perceived frequencies, while also controlling for physiological differences between speakers.</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 xml:space="preserve">The recoding process then proceeded in two steps, which are described separately below. </w:t>
      </w:r>
      <w:r/>
    </w:p>
    <w:p>
      <w:pPr>
        <w:pStyle w:val="Normal"/>
        <w:rPr>
          <w:rFonts w:ascii="Times New Roman" w:hAnsi="Times New Roman"/>
          <w:color w:val="00000A"/>
        </w:rPr>
      </w:pPr>
      <w:r>
        <w:rPr>
          <w:rFonts w:ascii="Times New Roman" w:hAnsi="Times New Roman"/>
        </w:rPr>
      </w:r>
      <w:r/>
    </w:p>
    <w:p>
      <w:pPr>
        <w:pStyle w:val="Normal"/>
        <w:rPr>
          <w:b/>
          <w:b/>
          <w:rFonts w:ascii="Times New Roman" w:hAnsi="Times New Roman"/>
        </w:rPr>
      </w:pPr>
      <w:r>
        <w:rPr>
          <w:rFonts w:ascii="Times New Roman" w:hAnsi="Times New Roman"/>
          <w:b/>
        </w:rPr>
        <w:t>x.1 Testing the ‘variable’ class</w:t>
      </w:r>
      <w:r/>
    </w:p>
    <w:p>
      <w:pPr>
        <w:pStyle w:val="Normal"/>
        <w:rPr>
          <w:rFonts w:ascii="Times New Roman" w:hAnsi="Times New Roman"/>
        </w:rPr>
      </w:pPr>
      <w:r>
        <w:rPr>
          <w:rFonts w:ascii="Times New Roman" w:hAnsi="Times New Roman"/>
        </w:rPr>
        <w:t>FAVE-extract currently assigns a number of words in different phonological environments to a ‘variable’ short-a class, coded (aeBR). This class is a catch-all of lexical exceptions and potential change in progress identified at various points in the literature on short-a, which includes:</w:t>
      </w:r>
      <w:r/>
    </w:p>
    <w:p>
      <w:pPr>
        <w:pStyle w:val="ListParagraph"/>
        <w:numPr>
          <w:ilvl w:val="0"/>
          <w:numId w:val="4"/>
        </w:numPr>
        <w:rPr>
          <w:rFonts w:ascii="Times New Roman" w:hAnsi="Times New Roman"/>
        </w:rPr>
      </w:pPr>
      <w:r>
        <w:rPr>
          <w:rFonts w:ascii="Times New Roman" w:hAnsi="Times New Roman"/>
        </w:rPr>
        <w:t>Words in which the short-a tensing segment is followed by a vowel (</w:t>
      </w:r>
      <w:r>
        <w:rPr>
          <w:rFonts w:ascii="Times New Roman" w:hAnsi="Times New Roman"/>
          <w:i/>
        </w:rPr>
        <w:t>Spanish, planet, damage</w:t>
      </w:r>
      <w:r>
        <w:rPr>
          <w:rFonts w:ascii="Times New Roman" w:hAnsi="Times New Roman"/>
        </w:rPr>
        <w:t>).</w:t>
      </w:r>
      <w:r/>
    </w:p>
    <w:p>
      <w:pPr>
        <w:pStyle w:val="ListParagraph"/>
        <w:numPr>
          <w:ilvl w:val="0"/>
          <w:numId w:val="4"/>
        </w:numPr>
      </w:pPr>
      <w:r>
        <w:rPr>
          <w:rFonts w:ascii="Times New Roman" w:hAnsi="Times New Roman"/>
        </w:rPr>
        <w:t>A subtype of (1) where the tensing segment is followed by a vowel due to the CMU dictionary pronunciation representing nasal cluster simplification (</w:t>
      </w:r>
      <w:r>
        <w:rPr>
          <w:rFonts w:ascii="Times New Roman" w:hAnsi="Times New Roman"/>
          <w:i/>
        </w:rPr>
        <w:t>grandmother, Atlantic, advantage</w:t>
      </w:r>
      <w:r>
        <w:rPr>
          <w:rFonts w:ascii="Times New Roman" w:hAnsi="Times New Roman"/>
        </w:rPr>
        <w:t>).</w:t>
      </w:r>
      <w:r/>
    </w:p>
    <w:p>
      <w:pPr>
        <w:pStyle w:val="ListParagraph"/>
        <w:numPr>
          <w:ilvl w:val="0"/>
          <w:numId w:val="4"/>
        </w:numPr>
        <w:rPr>
          <w:rFonts w:ascii="Times New Roman" w:hAnsi="Times New Roman"/>
        </w:rPr>
      </w:pPr>
      <w:r>
        <w:rPr>
          <w:rFonts w:ascii="Times New Roman" w:hAnsi="Times New Roman"/>
        </w:rPr>
        <w:t>Previously identified lexical exceptions (</w:t>
      </w:r>
      <w:r>
        <w:rPr>
          <w:rFonts w:ascii="Times New Roman" w:hAnsi="Times New Roman"/>
          <w:i/>
        </w:rPr>
        <w:t>family, Catholic, ran</w:t>
      </w:r>
      <w:r>
        <w:rPr>
          <w:rFonts w:ascii="Times New Roman" w:hAnsi="Times New Roman"/>
        </w:rPr>
        <w:t>).</w:t>
      </w:r>
      <w:r/>
    </w:p>
    <w:p>
      <w:pPr>
        <w:pStyle w:val="ListParagraph"/>
        <w:numPr>
          <w:ilvl w:val="0"/>
          <w:numId w:val="4"/>
        </w:numPr>
        <w:rPr>
          <w:rFonts w:ascii="Times New Roman" w:hAnsi="Times New Roman"/>
        </w:rPr>
      </w:pPr>
      <w:r>
        <w:rPr>
          <w:rFonts w:ascii="Times New Roman" w:hAnsi="Times New Roman"/>
        </w:rPr>
        <w:t>Words in which short-a is followed by /l/ (</w:t>
      </w:r>
      <w:r>
        <w:rPr>
          <w:rFonts w:ascii="Times New Roman" w:hAnsi="Times New Roman"/>
          <w:i/>
        </w:rPr>
        <w:t>Italian, pal, alley</w:t>
      </w:r>
      <w:r>
        <w:rPr>
          <w:rFonts w:ascii="Times New Roman" w:hAnsi="Times New Roman"/>
        </w:rPr>
        <w:t>).</w:t>
      </w:r>
      <w:r/>
    </w:p>
    <w:p>
      <w:pPr>
        <w:pStyle w:val="ListParagraph"/>
        <w:numPr>
          <w:ilvl w:val="0"/>
          <w:numId w:val="4"/>
        </w:numPr>
        <w:rPr>
          <w:rFonts w:ascii="Times New Roman" w:hAnsi="Times New Roman"/>
        </w:rPr>
      </w:pPr>
      <w:r>
        <w:rPr>
          <w:rFonts w:ascii="Times New Roman" w:hAnsi="Times New Roman"/>
        </w:rPr>
        <w:t>Words in which short-a is followed by an /sC/ cluster (</w:t>
      </w:r>
      <w:r>
        <w:rPr>
          <w:rFonts w:ascii="Times New Roman" w:hAnsi="Times New Roman"/>
          <w:i/>
        </w:rPr>
        <w:t>basket, master, aspirin</w:t>
      </w:r>
      <w:r>
        <w:rPr>
          <w:rFonts w:ascii="Times New Roman" w:hAnsi="Times New Roman"/>
        </w:rPr>
        <w:t>).</w:t>
      </w:r>
      <w:r/>
    </w:p>
    <w:p>
      <w:pPr>
        <w:pStyle w:val="ListParagraph"/>
        <w:numPr>
          <w:ilvl w:val="0"/>
          <w:numId w:val="4"/>
        </w:numPr>
        <w:rPr>
          <w:rFonts w:ascii="Times New Roman" w:hAnsi="Times New Roman"/>
        </w:rPr>
      </w:pPr>
      <w:r>
        <w:rPr>
          <w:rFonts w:ascii="Times New Roman" w:hAnsi="Times New Roman"/>
        </w:rPr>
        <w:t xml:space="preserve">Words that end in </w:t>
      </w:r>
      <w:r>
        <w:rPr>
          <w:rFonts w:ascii="Times New Roman" w:hAnsi="Times New Roman"/>
          <w:i/>
        </w:rPr>
        <w:t xml:space="preserve">–arry </w:t>
      </w:r>
      <w:r>
        <w:rPr>
          <w:rFonts w:ascii="Times New Roman" w:hAnsi="Times New Roman"/>
        </w:rPr>
        <w:t>(</w:t>
      </w:r>
      <w:r>
        <w:rPr>
          <w:rFonts w:ascii="Times New Roman" w:hAnsi="Times New Roman"/>
          <w:i/>
        </w:rPr>
        <w:t>Larry, Harry, marry</w:t>
      </w:r>
      <w:r>
        <w:rPr>
          <w:rFonts w:ascii="Times New Roman" w:hAnsi="Times New Roman"/>
        </w:rPr>
        <w:t>).</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 xml:space="preserve">The frequencies of the subtypes of the (æBR) class in the 301-speaker subset of the PNC are given in </w:t>
      </w:r>
      <w:r>
        <w:rPr>
          <w:rFonts w:ascii="Times New Roman" w:hAnsi="Times New Roman"/>
        </w:rPr>
        <w:fldChar w:fldCharType="begin"/>
      </w:r>
      <w:r>
        <w:instrText> REF _Ref274584077 \h </w:instrText>
      </w:r>
      <w:r>
        <w:fldChar w:fldCharType="separate"/>
      </w:r>
      <w:r>
        <w:t>Table 1</w:t>
      </w:r>
      <w:r>
        <w:fldChar w:fldCharType="end"/>
      </w:r>
      <w:r>
        <w:rPr>
          <w:rFonts w:ascii="Times New Roman" w:hAnsi="Times New Roman"/>
        </w:rPr>
        <w:t>.</w:t>
      </w:r>
      <w:r/>
    </w:p>
    <w:p>
      <w:pPr>
        <w:pStyle w:val="Normal"/>
        <w:rPr>
          <w:rFonts w:ascii="Times New Roman" w:hAnsi="Times New Roman"/>
          <w:color w:val="00000A"/>
        </w:rPr>
      </w:pPr>
      <w:r>
        <w:rPr>
          <w:rFonts w:ascii="Times New Roman" w:hAnsi="Times New Roman"/>
        </w:rPr>
      </w:r>
      <w:r/>
    </w:p>
    <w:p>
      <w:pPr>
        <w:pStyle w:val="Normal"/>
        <w:jc w:val="center"/>
        <w:rPr>
          <w:rFonts w:ascii="Times New Roman" w:hAnsi="Times New Roman"/>
        </w:rPr>
      </w:pPr>
      <w:r>
        <w:rPr>
          <w:rFonts w:ascii="Times New Roman" w:hAnsi="Times New Roman"/>
        </w:rPr>
        <w:t>[Table 1 about here]</w:t>
      </w:r>
      <w:r/>
    </w:p>
    <w:p>
      <w:pPr>
        <w:pStyle w:val="Normal"/>
        <w:ind w:left="360" w:hanging="0"/>
        <w:rPr>
          <w:rFonts w:ascii="Times New Roman" w:hAnsi="Times New Roman"/>
          <w:color w:val="00000A"/>
        </w:rPr>
      </w:pPr>
      <w:r>
        <w:rPr>
          <w:rFonts w:ascii="Times New Roman" w:hAnsi="Times New Roman"/>
        </w:rPr>
      </w:r>
      <w:r/>
    </w:p>
    <w:p>
      <w:pPr>
        <w:pStyle w:val="Normal"/>
      </w:pPr>
      <w:r>
        <w:rPr>
          <w:rFonts w:ascii="Times New Roman" w:hAnsi="Times New Roman"/>
        </w:rPr>
        <w:t xml:space="preserve">The goal of the first step was to test whether the words that FAVE currently codes as ‘variable’ are truly variable, or can be reliably coded into the tense or lax class. For each speaker, we calculated the Mahalanobis distances in F1, F2 space between each (æBR) token and the speaker’s (æ) and (æh) means. Mahalanobis distance was chosen over Euclidean distance, as it takes </w:t>
      </w:r>
      <w:r>
        <w:rPr>
          <w:rFonts w:ascii="Times New Roman" w:hAnsi="Times New Roman"/>
        </w:rPr>
        <w:t>into account correlations between F1 and F2.</w:t>
      </w:r>
      <w:r>
        <w:rPr>
          <w:rStyle w:val="FootnoteAnchor"/>
          <w:rFonts w:ascii="Times New Roman" w:hAnsi="Times New Roman"/>
        </w:rPr>
        <w:footnoteReference w:id="3"/>
      </w:r>
      <w:commentRangeStart w:id="1"/>
      <w:r>
        <w:rPr>
          <w:rFonts w:ascii="Times New Roman" w:hAnsi="Times New Roman"/>
        </w:rPr>
        <w:commentReference w:id="0"/>
      </w:r>
      <w:commentRangeEnd w:id="1"/>
      <w:r>
        <w:commentReference w:id="1"/>
      </w:r>
      <w:r>
        <w:rPr>
          <w:rFonts w:ascii="Times New Roman" w:hAnsi="Times New Roman"/>
        </w:rPr>
        <w:t xml:space="preserve"> Each (æBR) token was then recoded according to whether it was closer to the tense or lax mean. Finally, we tabulated how often each (æBR) word was coded as tense or lax. If there were at least five tokens of the word, and the ratio of one code to the other was at least 2:1, then the word was recoded accordingly. </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bookmarkStart w:id="0" w:name="_GoBack"/>
      <w:bookmarkEnd w:id="0"/>
      <w:r>
        <w:rPr>
          <w:rFonts w:ascii="Times New Roman" w:hAnsi="Times New Roman"/>
        </w:rPr>
        <w:t>{Analysis of previous variable class here??}</w:t>
      </w:r>
      <w:r/>
    </w:p>
    <w:p>
      <w:pPr>
        <w:pStyle w:val="Normal"/>
        <w:rPr>
          <w:rFonts w:ascii="Times New Roman" w:hAnsi="Times New Roman"/>
          <w:color w:val="00000A"/>
        </w:rPr>
      </w:pPr>
      <w:r>
        <w:rPr>
          <w:rFonts w:ascii="Times New Roman" w:hAnsi="Times New Roman"/>
        </w:rPr>
      </w:r>
      <w:r/>
    </w:p>
    <w:p>
      <w:pPr>
        <w:pStyle w:val="Normal"/>
      </w:pPr>
      <w:r>
        <w:rPr>
          <w:rFonts w:ascii="Times New Roman" w:hAnsi="Times New Roman"/>
        </w:rPr>
        <w:t xml:space="preserve">These new codes were incorporated into a new short-a module for FAVE. This module includes several coding improvements: it uses a syllabification procedure (Gorman 2013) to accurately account for the tautosyllabicity constraint, and uses the Porter (1980) stemmer to detect resyllabification of a stem-final consonant </w:t>
      </w:r>
      <w:r>
        <w:rPr>
          <w:rFonts w:ascii="Times New Roman" w:hAnsi="Times New Roman"/>
        </w:rPr>
        <w:t xml:space="preserve">due to the addition of the suffixes </w:t>
      </w:r>
      <w:r>
        <w:rPr>
          <w:rFonts w:ascii="Times New Roman" w:hAnsi="Times New Roman"/>
          <w:i/>
          <w:iCs/>
        </w:rPr>
        <w:t>-ed</w:t>
      </w:r>
      <w:r>
        <w:rPr>
          <w:rFonts w:ascii="Times New Roman" w:hAnsi="Times New Roman"/>
          <w:i w:val="false"/>
          <w:iCs w:val="false"/>
        </w:rPr>
        <w:t xml:space="preserve">, </w:t>
      </w:r>
      <w:r>
        <w:rPr>
          <w:rFonts w:ascii="Times New Roman" w:hAnsi="Times New Roman"/>
          <w:i/>
          <w:iCs/>
        </w:rPr>
        <w:t>-es</w:t>
      </w:r>
      <w:r>
        <w:rPr>
          <w:rFonts w:ascii="Times New Roman" w:hAnsi="Times New Roman"/>
          <w:i w:val="false"/>
          <w:iCs w:val="false"/>
        </w:rPr>
        <w:t>, and -</w:t>
      </w:r>
      <w:r>
        <w:rPr>
          <w:rFonts w:ascii="Times New Roman" w:hAnsi="Times New Roman"/>
          <w:i/>
          <w:iCs/>
        </w:rPr>
        <w:t>ing.</w:t>
      </w:r>
      <w:r>
        <w:rPr>
          <w:rFonts w:ascii="Times New Roman" w:hAnsi="Times New Roman"/>
          <w:i w:val="false"/>
          <w:iCs w:val="false"/>
        </w:rPr>
        <w:t xml:space="preserve"> This reflects the</w:t>
      </w:r>
      <w:r>
        <w:rPr>
          <w:rFonts w:ascii="Times New Roman" w:hAnsi="Times New Roman"/>
        </w:rPr>
        <w:t xml:space="preserve"> “preservation of stem identity” </w:t>
      </w:r>
      <w:r>
        <w:rPr>
          <w:rFonts w:ascii="Times New Roman" w:hAnsi="Times New Roman"/>
        </w:rPr>
        <w:t>governing the short-a distribution.</w:t>
      </w:r>
      <w:r>
        <w:rPr>
          <w:rFonts w:ascii="Times New Roman" w:hAnsi="Times New Roman"/>
        </w:rPr>
        <w:t xml:space="preserve"> Additionally, this module codes all short-a tokens, whereas FAVE only codes tokens with primary stress </w:t>
      </w:r>
      <w:r>
        <w:rPr>
          <w:rFonts w:ascii="Times New Roman" w:hAnsi="Times New Roman"/>
        </w:rPr>
        <w:t>and marks all other tokens as lax.</w:t>
      </w:r>
      <w:r/>
    </w:p>
    <w:p>
      <w:pPr>
        <w:pStyle w:val="Normal"/>
        <w:rPr>
          <w:rFonts w:ascii="Times New Roman" w:hAnsi="Times New Roman"/>
          <w:color w:val="00000A"/>
        </w:rPr>
      </w:pPr>
      <w:r>
        <w:rPr>
          <w:rFonts w:ascii="Times New Roman" w:hAnsi="Times New Roman"/>
        </w:rPr>
      </w:r>
      <w:r/>
    </w:p>
    <w:p>
      <w:pPr>
        <w:pStyle w:val="Normal"/>
        <w:jc w:val="center"/>
        <w:rPr>
          <w:rFonts w:ascii="Times New Roman" w:hAnsi="Times New Roman"/>
        </w:rPr>
      </w:pPr>
      <w:r>
        <w:rPr>
          <w:rFonts w:ascii="Times New Roman" w:hAnsi="Times New Roman"/>
        </w:rPr>
        <w:t>[Figure 1 about here]</w:t>
      </w:r>
      <w:r/>
    </w:p>
    <w:p>
      <w:pPr>
        <w:pStyle w:val="Normal"/>
        <w:rPr>
          <w:b/>
          <w:b/>
          <w:bCs/>
          <w:rFonts w:ascii="Times New Roman" w:hAnsi="Times New Roman"/>
          <w:color w:val="00000A"/>
        </w:rPr>
      </w:pPr>
      <w:r>
        <w:rPr>
          <w:rFonts w:ascii="Times New Roman" w:hAnsi="Times New Roman"/>
          <w:b/>
          <w:bCs/>
        </w:rPr>
      </w:r>
      <w:r/>
    </w:p>
    <w:p>
      <w:pPr>
        <w:pStyle w:val="Normal"/>
        <w:rPr>
          <w:b/>
          <w:b/>
          <w:bCs/>
          <w:rFonts w:ascii="Times New Roman" w:hAnsi="Times New Roman"/>
        </w:rPr>
      </w:pPr>
      <w:r>
        <w:rPr>
          <w:rFonts w:ascii="Times New Roman" w:hAnsi="Times New Roman"/>
          <w:b/>
          <w:bCs/>
        </w:rPr>
        <w:t>x.2 Checking for new lexical exceptions</w:t>
      </w:r>
      <w:r/>
    </w:p>
    <w:p>
      <w:pPr>
        <w:pStyle w:val="ListParagraph"/>
        <w:rPr>
          <w:b/>
          <w:b/>
          <w:bCs/>
          <w:rFonts w:ascii="Times New Roman" w:hAnsi="Times New Roman"/>
          <w:color w:val="00000A"/>
        </w:rPr>
      </w:pPr>
      <w:r>
        <w:rPr>
          <w:rFonts w:ascii="Times New Roman" w:hAnsi="Times New Roman"/>
          <w:b/>
          <w:bCs/>
        </w:rPr>
      </w:r>
      <w:r/>
    </w:p>
    <w:p>
      <w:pPr>
        <w:pStyle w:val="Normal"/>
        <w:rPr>
          <w:i/>
          <w:b/>
          <w:i/>
          <w:b/>
          <w:bCs/>
          <w:rFonts w:ascii="Times New Roman" w:hAnsi="Times New Roman"/>
          <w:color w:val="00000A"/>
        </w:rPr>
      </w:pPr>
      <w:r>
        <w:rPr>
          <w:rFonts w:ascii="Times New Roman" w:hAnsi="Times New Roman"/>
          <w:b/>
          <w:bCs/>
          <w:i/>
        </w:rPr>
      </w:r>
      <w:r/>
    </w:p>
    <w:p>
      <w:pPr>
        <w:pStyle w:val="Normal"/>
        <w:rPr>
          <w:i/>
          <w:b/>
          <w:i/>
          <w:b/>
          <w:bCs/>
          <w:rFonts w:ascii="Times New Roman" w:hAnsi="Times New Roman"/>
          <w:color w:val="00000A"/>
        </w:rPr>
      </w:pPr>
      <w:r>
        <w:rPr>
          <w:rFonts w:ascii="Times New Roman" w:hAnsi="Times New Roman"/>
          <w:b/>
          <w:bCs/>
          <w:i/>
        </w:rPr>
      </w:r>
      <w:r/>
    </w:p>
    <w:p>
      <w:pPr>
        <w:pStyle w:val="Normal"/>
        <w:rPr>
          <w:i/>
          <w:b/>
          <w:i/>
          <w:b/>
          <w:bCs/>
          <w:rFonts w:ascii="Times New Roman" w:hAnsi="Times New Roman"/>
        </w:rPr>
      </w:pPr>
      <w:r>
        <w:rPr>
          <w:rFonts w:ascii="Times New Roman" w:hAnsi="Times New Roman"/>
          <w:b/>
          <w:bCs/>
          <w:i/>
        </w:rPr>
        <w:t>Coding Improvements</w:t>
      </w:r>
      <w:r/>
    </w:p>
    <w:p>
      <w:pPr>
        <w:pStyle w:val="Normal"/>
        <w:rPr>
          <w:i/>
          <w:i/>
          <w:rFonts w:ascii="Times New Roman" w:hAnsi="Times New Roman"/>
        </w:rPr>
      </w:pPr>
      <w:r>
        <w:rPr>
          <w:rFonts w:ascii="Times New Roman" w:hAnsi="Times New Roman"/>
          <w:i/>
        </w:rPr>
        <w:t>What does standard FAVE do?</w:t>
      </w:r>
      <w:r/>
    </w:p>
    <w:p>
      <w:pPr>
        <w:pStyle w:val="Normal"/>
        <w:numPr>
          <w:ilvl w:val="0"/>
          <w:numId w:val="1"/>
        </w:numPr>
        <w:rPr>
          <w:i/>
          <w:i/>
          <w:rFonts w:ascii="Times New Roman" w:hAnsi="Times New Roman"/>
        </w:rPr>
      </w:pPr>
      <w:r>
        <w:rPr>
          <w:rFonts w:ascii="Times New Roman" w:hAnsi="Times New Roman"/>
          <w:i/>
        </w:rPr>
        <w:t>Only codes vowels with primary stress</w:t>
      </w:r>
      <w:r/>
    </w:p>
    <w:p>
      <w:pPr>
        <w:pStyle w:val="Normal"/>
        <w:numPr>
          <w:ilvl w:val="0"/>
          <w:numId w:val="1"/>
        </w:numPr>
        <w:rPr>
          <w:i/>
          <w:i/>
          <w:rFonts w:ascii="Times New Roman" w:hAnsi="Times New Roman"/>
        </w:rPr>
      </w:pPr>
      <w:r>
        <w:rPr>
          <w:rFonts w:ascii="Times New Roman" w:hAnsi="Times New Roman"/>
          <w:i/>
        </w:rPr>
        <w:t>Tense if followed by word-final or pre-consonantal [M N S TH F] (man, ham; hand, classroom)</w:t>
      </w:r>
      <w:r/>
    </w:p>
    <w:p>
      <w:pPr>
        <w:pStyle w:val="Normal"/>
        <w:numPr>
          <w:ilvl w:val="0"/>
          <w:numId w:val="1"/>
        </w:numPr>
        <w:rPr>
          <w:i/>
          <w:i/>
          <w:rFonts w:ascii="Times New Roman" w:hAnsi="Times New Roman"/>
        </w:rPr>
      </w:pPr>
      <w:r>
        <w:rPr>
          <w:rFonts w:ascii="Times New Roman" w:hAnsi="Times New Roman"/>
          <w:i/>
        </w:rPr>
        <w:t>Codes as "variable" if followed by tenser + non-suffix (-ing,-es) vowel</w:t>
      </w:r>
      <w:r/>
    </w:p>
    <w:p>
      <w:pPr>
        <w:pStyle w:val="Normal"/>
        <w:numPr>
          <w:ilvl w:val="1"/>
          <w:numId w:val="1"/>
        </w:numPr>
        <w:rPr>
          <w:i/>
          <w:i/>
          <w:rFonts w:ascii="Times New Roman" w:hAnsi="Times New Roman"/>
        </w:rPr>
      </w:pPr>
      <w:r>
        <w:rPr>
          <w:rFonts w:ascii="Times New Roman" w:hAnsi="Times New Roman"/>
          <w:i/>
        </w:rPr>
        <w:t>Attempt to account for tautosyllabicity without syllabification?</w:t>
      </w:r>
      <w:r/>
    </w:p>
    <w:p>
      <w:pPr>
        <w:pStyle w:val="Normal"/>
        <w:numPr>
          <w:ilvl w:val="0"/>
          <w:numId w:val="1"/>
        </w:numPr>
        <w:rPr>
          <w:i/>
          <w:i/>
          <w:rFonts w:ascii="Times New Roman" w:hAnsi="Times New Roman"/>
        </w:rPr>
      </w:pPr>
      <w:r>
        <w:rPr>
          <w:rFonts w:ascii="Times New Roman" w:hAnsi="Times New Roman"/>
          <w:i/>
        </w:rPr>
        <w:t>Variable by stipulation:</w:t>
      </w:r>
      <w:r/>
    </w:p>
    <w:p>
      <w:pPr>
        <w:pStyle w:val="Normal"/>
        <w:numPr>
          <w:ilvl w:val="1"/>
          <w:numId w:val="1"/>
        </w:numPr>
        <w:rPr>
          <w:i/>
          <w:i/>
          <w:iCs/>
          <w:rFonts w:ascii="Times New Roman" w:hAnsi="Times New Roman"/>
        </w:rPr>
      </w:pPr>
      <w:r>
        <w:rPr>
          <w:rFonts w:ascii="Times New Roman" w:hAnsi="Times New Roman"/>
          <w:i/>
        </w:rPr>
        <w:t xml:space="preserve">Lexical exceptions: </w:t>
      </w:r>
      <w:r>
        <w:rPr>
          <w:rFonts w:ascii="Times New Roman" w:hAnsi="Times New Roman"/>
          <w:i/>
          <w:iCs/>
        </w:rPr>
        <w:t>math, ran, swam, began, can, family, January, annual, Anne, Joanne, gas, exam, alas, aspirin, Catholic(s), camera</w:t>
      </w:r>
      <w:r/>
    </w:p>
    <w:p>
      <w:pPr>
        <w:pStyle w:val="Normal"/>
        <w:numPr>
          <w:ilvl w:val="1"/>
          <w:numId w:val="1"/>
        </w:numPr>
        <w:rPr>
          <w:i/>
          <w:i/>
          <w:rFonts w:ascii="Times New Roman" w:hAnsi="Times New Roman"/>
        </w:rPr>
      </w:pPr>
      <w:r>
        <w:rPr>
          <w:rFonts w:ascii="Times New Roman" w:hAnsi="Times New Roman"/>
          <w:i/>
        </w:rPr>
        <w:t>following /l/</w:t>
      </w:r>
      <w:r/>
    </w:p>
    <w:p>
      <w:pPr>
        <w:pStyle w:val="Normal"/>
        <w:numPr>
          <w:ilvl w:val="1"/>
          <w:numId w:val="1"/>
        </w:numPr>
        <w:rPr>
          <w:i/>
          <w:i/>
          <w:rFonts w:ascii="Times New Roman" w:hAnsi="Times New Roman"/>
        </w:rPr>
      </w:pPr>
      <w:r>
        <w:rPr>
          <w:rFonts w:ascii="Times New Roman" w:hAnsi="Times New Roman"/>
          <w:i/>
        </w:rPr>
        <w:t>sC clusters</w:t>
      </w:r>
      <w:r/>
    </w:p>
    <w:p>
      <w:pPr>
        <w:pStyle w:val="Normal"/>
        <w:numPr>
          <w:ilvl w:val="0"/>
          <w:numId w:val="1"/>
        </w:numPr>
        <w:rPr>
          <w:i/>
          <w:i/>
          <w:rFonts w:ascii="Times New Roman" w:hAnsi="Times New Roman"/>
        </w:rPr>
      </w:pPr>
      <w:r>
        <w:rPr>
          <w:rFonts w:ascii="Times New Roman" w:hAnsi="Times New Roman"/>
          <w:i/>
        </w:rPr>
        <w:t>Tense by stipulation:</w:t>
      </w:r>
      <w:r/>
    </w:p>
    <w:p>
      <w:pPr>
        <w:pStyle w:val="Normal"/>
        <w:numPr>
          <w:ilvl w:val="1"/>
          <w:numId w:val="1"/>
        </w:numPr>
        <w:rPr>
          <w:i/>
          <w:i/>
          <w:rFonts w:ascii="Times New Roman" w:hAnsi="Times New Roman"/>
        </w:rPr>
      </w:pPr>
      <w:r>
        <w:rPr>
          <w:rFonts w:ascii="Times New Roman" w:hAnsi="Times New Roman"/>
          <w:i/>
          <w:iCs/>
        </w:rPr>
        <w:t xml:space="preserve">mad, bad, glad </w:t>
      </w:r>
      <w:r>
        <w:rPr>
          <w:rFonts w:ascii="Times New Roman" w:hAnsi="Times New Roman"/>
          <w:i/>
        </w:rPr>
        <w:t>and some derived forms</w:t>
      </w:r>
      <w:r/>
    </w:p>
    <w:p>
      <w:pPr>
        <w:pStyle w:val="Normal"/>
        <w:rPr>
          <w:rFonts w:ascii="Times New Roman" w:hAnsi="Times New Roman"/>
          <w:color w:val="00000A"/>
        </w:rPr>
      </w:pPr>
      <w:r>
        <w:rPr>
          <w:rFonts w:ascii="Times New Roman" w:hAnsi="Times New Roman"/>
        </w:rPr>
      </w:r>
      <w:r/>
    </w:p>
    <w:p>
      <w:pPr>
        <w:pStyle w:val="Normal"/>
        <w:numPr>
          <w:ilvl w:val="0"/>
          <w:numId w:val="3"/>
        </w:numPr>
        <w:rPr>
          <w:i/>
          <w:i/>
          <w:rFonts w:ascii="Times New Roman" w:hAnsi="Times New Roman"/>
        </w:rPr>
      </w:pPr>
      <w:r>
        <w:rPr>
          <w:rFonts w:ascii="Times New Roman" w:hAnsi="Times New Roman"/>
          <w:i/>
        </w:rPr>
        <w:t>Not yet handled programmatically: errors caused by multiple pronunciations in CMU dict: schwa-apocope (camera), deletion (Santa, grandmother), weirdness (Africa). The most frequent instances of these currently in the corpus have been coded as exceptions to account for this.</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color w:val="00000A"/>
        </w:rPr>
      </w:pPr>
      <w:r>
        <w:rPr>
          <w:rFonts w:ascii="Times New Roman" w:hAnsi="Times New Roman"/>
        </w:rPr>
      </w:r>
      <w:r/>
    </w:p>
    <w:p>
      <w:pPr>
        <w:pStyle w:val="Normal"/>
        <w:rPr>
          <w:b/>
          <w:b/>
          <w:bCs/>
          <w:rFonts w:ascii="Times New Roman" w:hAnsi="Times New Roman"/>
        </w:rPr>
      </w:pPr>
      <w:r>
        <w:rPr>
          <w:rFonts w:ascii="Times New Roman" w:hAnsi="Times New Roman"/>
          <w:b/>
          <w:bCs/>
        </w:rPr>
        <w:t>Analysis of previous variable class categories</w:t>
      </w:r>
      <w:r/>
    </w:p>
    <w:p>
      <w:pPr>
        <w:pStyle w:val="Normal"/>
        <w:rPr>
          <w:b/>
          <w:b/>
          <w:bCs/>
          <w:rFonts w:ascii="Times New Roman" w:hAnsi="Times New Roman"/>
        </w:rPr>
      </w:pPr>
      <w:r>
        <w:rPr>
          <w:rFonts w:ascii="Times New Roman" w:hAnsi="Times New Roman"/>
          <w:b/>
          <w:bCs/>
        </w:rPr>
        <w:t>Tenser + V</w:t>
      </w:r>
      <w:r/>
    </w:p>
    <w:p>
      <w:pPr>
        <w:pStyle w:val="Normal"/>
        <w:rPr>
          <w:rFonts w:ascii="Times New Roman" w:hAnsi="Times New Roman"/>
        </w:rPr>
      </w:pPr>
      <w:r>
        <w:rPr>
          <w:rFonts w:ascii="Times New Roman" w:hAnsi="Times New Roman"/>
        </w:rPr>
        <w:t>This category no longer exists per se, its members are handled by the syllabification script.</w:t>
      </w:r>
      <w:r/>
    </w:p>
    <w:p>
      <w:pPr>
        <w:pStyle w:val="Normal"/>
        <w:rPr>
          <w:b/>
          <w:b/>
          <w:bCs/>
          <w:rFonts w:ascii="Times New Roman" w:hAnsi="Times New Roman"/>
        </w:rPr>
      </w:pPr>
      <w:r>
        <w:rPr>
          <w:rFonts w:ascii="Times New Roman" w:hAnsi="Times New Roman"/>
          <w:b/>
          <w:bCs/>
        </w:rPr>
        <w:t>Lexical exceptions</w:t>
      </w:r>
      <w:r/>
    </w:p>
    <w:p>
      <w:pPr>
        <w:pStyle w:val="Normal"/>
        <w:rPr>
          <w:rFonts w:ascii="Times New Roman" w:hAnsi="Times New Roman"/>
        </w:rPr>
      </w:pPr>
      <w:r>
        <w:rPr>
          <w:rFonts w:ascii="Times New Roman" w:hAnsi="Times New Roman"/>
        </w:rPr>
        <w:t>These are checked against corpus data and reassigned as necessary.</w:t>
      </w:r>
      <w:r/>
    </w:p>
    <w:p>
      <w:pPr>
        <w:pStyle w:val="Normal"/>
        <w:rPr>
          <w:b/>
          <w:b/>
          <w:bCs/>
          <w:rFonts w:ascii="Times New Roman" w:hAnsi="Times New Roman"/>
        </w:rPr>
      </w:pPr>
      <w:r>
        <w:rPr>
          <w:rFonts w:ascii="Times New Roman" w:hAnsi="Times New Roman"/>
          <w:b/>
          <w:bCs/>
        </w:rPr>
        <w:t>Following /l/</w:t>
      </w:r>
      <w:r/>
    </w:p>
    <w:p>
      <w:pPr>
        <w:pStyle w:val="Normal"/>
        <w:rPr>
          <w:rFonts w:ascii="Times New Roman" w:hAnsi="Times New Roman"/>
        </w:rPr>
      </w:pPr>
      <w:r>
        <w:rPr>
          <w:rFonts w:ascii="Times New Roman" w:hAnsi="Times New Roman"/>
        </w:rPr>
        <w:t>These are coded as lax per orig. desc. In light of Dinkin's work however, researchers using this coding may wish to exclude pre-lateral tokens from analysis.</w:t>
      </w:r>
      <w:r/>
    </w:p>
    <w:p>
      <w:pPr>
        <w:pStyle w:val="Normal"/>
        <w:rPr>
          <w:b/>
          <w:b/>
          <w:bCs/>
          <w:rFonts w:ascii="Times New Roman" w:hAnsi="Times New Roman"/>
        </w:rPr>
      </w:pPr>
      <w:r>
        <w:rPr>
          <w:rFonts w:ascii="Times New Roman" w:hAnsi="Times New Roman"/>
          <w:b/>
          <w:bCs/>
        </w:rPr>
        <w:t>Clusters</w:t>
      </w:r>
      <w:r/>
    </w:p>
    <w:p>
      <w:pPr>
        <w:pStyle w:val="Normal"/>
        <w:rPr>
          <w:rFonts w:ascii="Times New Roman" w:hAnsi="Times New Roman"/>
        </w:rPr>
      </w:pPr>
      <w:r>
        <w:rPr>
          <w:rFonts w:ascii="Times New Roman" w:hAnsi="Times New Roman"/>
        </w:rPr>
        <w:t xml:space="preserve">Labov 1989 on sC clusters: “These words are normally pronounced with short </w:t>
      </w:r>
      <w:r>
        <w:rPr>
          <w:rFonts w:ascii="Times New Roman" w:hAnsi="Times New Roman"/>
          <w:i/>
          <w:iCs/>
        </w:rPr>
        <w:t>a</w:t>
      </w:r>
      <w:r>
        <w:rPr>
          <w:rFonts w:ascii="Times New Roman" w:hAnsi="Times New Roman"/>
        </w:rPr>
        <w:t xml:space="preserve"> in an open syllable; otherwise, the stop would be aspirated, which is rarely the case. Syllable structure in the physical sense is not the governing parameter here; rather it is the abstract structure of the word.” [p 24] → see SPE, Vaux, etc on using aspiration as diagnostic of syllable structure. Also Occam's razor → it would be exceptional for short-a in an open syllable to tense in just these words, simplest explanation is that S is in coda.</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 xml:space="preserve">For s-clusters analysis: 180 speakers from the Philadelphia Neighborhood Corpus (PNC) with clear traditional split short-a system. Yielded a total of 558 tokens of medial sC clusters (where C is [p t k]) following a short-a. For each token we calculated the Mahalanobis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rPr>
      </w:pPr>
      <w:r>
        <w:rPr>
          <w:rFonts w:ascii="Times New Roman" w:hAnsi="Times New Roman"/>
        </w:rPr>
        <w:t xml:space="preserve"> </w:t>
      </w:r>
      <w:r>
        <w:rPr>
          <w:rFonts w:ascii="Times New Roman" w:hAnsi="Times New Roman"/>
        </w:rPr>
        <w:t>from which we may draw the following generalizations:</w:t>
      </w:r>
      <w:r/>
    </w:p>
    <w:p>
      <w:pPr>
        <w:pStyle w:val="Normal"/>
        <w:numPr>
          <w:ilvl w:val="0"/>
          <w:numId w:val="2"/>
        </w:numPr>
        <w:rPr>
          <w:rFonts w:ascii="Times New Roman" w:hAnsi="Times New Roman"/>
        </w:rPr>
      </w:pPr>
      <w:r>
        <w:rPr>
          <w:rFonts w:ascii="Times New Roman" w:hAnsi="Times New Roman"/>
        </w:rPr>
        <w:t xml:space="preserve">SP clusters in this sample promote a lax short-a – only one token of </w:t>
      </w:r>
      <w:r>
        <w:rPr>
          <w:rFonts w:ascii="Times New Roman" w:hAnsi="Times New Roman"/>
          <w:i/>
          <w:iCs/>
        </w:rPr>
        <w:t>aspirin</w:t>
      </w:r>
      <w:r>
        <w:rPr>
          <w:rFonts w:ascii="Times New Roman" w:hAnsi="Times New Roman"/>
        </w:rPr>
        <w:t xml:space="preserve"> in 28 SP cluster tokens was coded as tense</w:t>
      </w:r>
      <w:r/>
    </w:p>
    <w:p>
      <w:pPr>
        <w:pStyle w:val="Normal"/>
        <w:numPr>
          <w:ilvl w:val="0"/>
          <w:numId w:val="2"/>
        </w:numPr>
        <w:rPr>
          <w:rFonts w:ascii="Times New Roman" w:hAnsi="Times New Roman"/>
        </w:rPr>
      </w:pPr>
      <w:r>
        <w:rPr>
          <w:rFonts w:ascii="Times New Roman" w:hAnsi="Times New Roman"/>
        </w:rPr>
        <w:t xml:space="preserve">ST and SK clusters are majority tense, with a few exceptions: </w:t>
      </w:r>
      <w:r>
        <w:rPr>
          <w:rFonts w:ascii="Times New Roman" w:hAnsi="Times New Roman"/>
          <w:i/>
          <w:iCs/>
        </w:rPr>
        <w:t xml:space="preserve">fantastic, plastic, astronaut, rascal, </w:t>
      </w:r>
      <w:r>
        <w:rPr>
          <w:rFonts w:ascii="Times New Roman" w:hAnsi="Times New Roman"/>
        </w:rPr>
        <w:t xml:space="preserve">and possibly </w:t>
      </w:r>
      <w:r>
        <w:rPr>
          <w:rFonts w:ascii="Times New Roman" w:hAnsi="Times New Roman"/>
          <w:i/>
          <w:iCs/>
        </w:rPr>
        <w:t xml:space="preserve">Alaska. Asteroid </w:t>
      </w:r>
      <w:r>
        <w:rPr>
          <w:rFonts w:ascii="Times New Roman" w:hAnsi="Times New Roman"/>
        </w:rPr>
        <w:t xml:space="preserve">and </w:t>
      </w:r>
      <w:r>
        <w:rPr>
          <w:rFonts w:ascii="Times New Roman" w:hAnsi="Times New Roman"/>
          <w:i/>
          <w:iCs/>
        </w:rPr>
        <w:t xml:space="preserve">elastic </w:t>
      </w:r>
      <w:r>
        <w:rPr>
          <w:rFonts w:ascii="Times New Roman" w:hAnsi="Times New Roman"/>
        </w:rPr>
        <w:t>may also fall into this category, but there are too few tokens to be sure. → learned words discussion?</w:t>
      </w:r>
      <w:r/>
    </w:p>
    <w:p>
      <w:pPr>
        <w:pStyle w:val="Normal"/>
        <w:numPr>
          <w:ilvl w:val="0"/>
          <w:numId w:val="2"/>
        </w:numPr>
        <w:rPr>
          <w:rFonts w:ascii="Times New Roman" w:hAnsi="Times New Roman"/>
        </w:rPr>
      </w:pPr>
      <w:r>
        <w:rPr>
          <w:rFonts w:ascii="Times New Roman" w:hAnsi="Times New Roman"/>
        </w:rPr>
        <w:t>Thus it would appear that in ST and SK clusters, Philadelphians are analyzing the S as a coda consonant, and tensing short-a due to the tautosyllabic S. More data on SP clusters is needed, but the results here suggest that they behave differently, with S analyzed in the onset of the following syllable, thus not causing short-a tensing.</w:t>
      </w:r>
      <w:r/>
    </w:p>
    <w:p>
      <w:pPr>
        <w:pStyle w:val="Normal"/>
        <w:rPr>
          <w:rFonts w:ascii="Times New Roman" w:hAnsi="Times New Roman"/>
          <w:color w:val="00000A"/>
        </w:rPr>
      </w:pPr>
      <w:r>
        <w:rPr>
          <w:rFonts w:ascii="Times New Roman" w:hAnsi="Times New Roman"/>
        </w:rPr>
      </w:r>
      <w:r/>
    </w:p>
    <w:p>
      <w:pPr>
        <w:pStyle w:val="Normal"/>
        <w:rPr>
          <w:rFonts w:ascii="Times New Roman" w:hAnsi="Times New Roman"/>
          <w:color w:val="000000"/>
        </w:rPr>
      </w:pPr>
      <w:r>
        <w:rPr>
          <w:rFonts w:ascii="Times New Roman" w:hAnsi="Times New Roman"/>
        </w:rPr>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r/>
    </w:p>
    <w:p>
      <w:pPr>
        <w:pStyle w:val="Normal"/>
        <w:rPr>
          <w:rFonts w:ascii="Times New Roman" w:hAnsi="Times New Roman"/>
          <w:color w:val="000000"/>
        </w:rPr>
      </w:pPr>
      <w:r>
        <w:rPr>
          <w:rFonts w:ascii="Times New Roman" w:hAnsi="Times New Roman"/>
          <w:color w:val="000000"/>
        </w:rPr>
      </w:r>
      <w:r/>
    </w:p>
    <w:p>
      <w:pPr>
        <w:pStyle w:val="Normal"/>
        <w:rPr>
          <w:b/>
          <w:b/>
          <w:bCs/>
          <w:rFonts w:ascii="Times New Roman" w:hAnsi="Times New Roman"/>
        </w:rPr>
      </w:pPr>
      <w:r>
        <w:rPr>
          <w:rFonts w:ascii="Times New Roman" w:hAnsi="Times New Roman"/>
          <w:b/>
          <w:bCs/>
        </w:rPr>
        <w:t>CMU error</w:t>
      </w:r>
      <w:r/>
    </w:p>
    <w:p>
      <w:pPr>
        <w:pStyle w:val="Normal"/>
        <w:rPr>
          <w:rFonts w:ascii="Times New Roman" w:hAnsi="Times New Roman"/>
        </w:rPr>
      </w:pPr>
      <w:r>
        <w:rPr>
          <w:rFonts w:ascii="Times New Roman" w:hAnsi="Times New Roman"/>
        </w:rPr>
        <w:t>Impossible to catch all of these without manually fixing the dictionary; most frequent affected words currently in the corpus have been hard-coded as exceptions in the relevant category.</w:t>
      </w:r>
      <w:r/>
    </w:p>
    <w:p>
      <w:pPr>
        <w:pStyle w:val="Normal"/>
        <w:rPr>
          <w:b/>
          <w:b/>
          <w:bCs/>
          <w:rFonts w:ascii="Times New Roman" w:hAnsi="Times New Roman"/>
        </w:rPr>
      </w:pPr>
      <w:r>
        <w:rPr>
          <w:rFonts w:ascii="Times New Roman" w:hAnsi="Times New Roman"/>
          <w:b/>
          <w:bCs/>
          <w:i/>
          <w:iCs/>
        </w:rPr>
        <w:t>-arry</w:t>
      </w:r>
      <w:r>
        <w:rPr>
          <w:rFonts w:ascii="Times New Roman" w:hAnsi="Times New Roman"/>
          <w:b/>
          <w:bCs/>
        </w:rPr>
        <w:t xml:space="preserve"> words</w:t>
      </w:r>
      <w:r/>
    </w:p>
    <w:p>
      <w:pPr>
        <w:pStyle w:val="Normal"/>
        <w:rPr>
          <w:rFonts w:ascii="Times New Roman" w:hAnsi="Times New Roman"/>
          <w:color w:val="000000"/>
        </w:rPr>
      </w:pPr>
      <w:r>
        <w:rPr>
          <w:rFonts w:ascii="Times New Roman" w:hAnsi="Times New Roman"/>
          <w:color w:val="000000"/>
        </w:rPr>
        <w:t>Coded as lax per Labov.</w:t>
      </w:r>
      <w:r/>
    </w:p>
    <w:p>
      <w:pPr>
        <w:pStyle w:val="Normal"/>
        <w:rPr>
          <w:rFonts w:ascii="Times New Roman" w:hAnsi="Times New Roman"/>
          <w:color w:val="00000A"/>
        </w:rPr>
      </w:pPr>
      <w:r>
        <w:rPr>
          <w:rFonts w:ascii="Times New Roman" w:hAnsi="Times New Roman"/>
        </w:rPr>
      </w:r>
      <w:r/>
    </w:p>
    <w:p>
      <w:pPr>
        <w:pStyle w:val="Normal"/>
        <w:rPr>
          <w:b/>
          <w:b/>
          <w:bCs/>
          <w:rFonts w:ascii="Times New Roman" w:hAnsi="Times New Roman"/>
        </w:rPr>
      </w:pPr>
      <w:r>
        <w:rPr>
          <w:rFonts w:ascii="Times New Roman" w:hAnsi="Times New Roman"/>
          <w:b/>
          <w:bCs/>
        </w:rPr>
        <w:t>Results</w:t>
      </w:r>
      <w:r/>
    </w:p>
    <w:p>
      <w:pPr>
        <w:pStyle w:val="Normal"/>
        <w:rPr>
          <w:b/>
          <w:b/>
          <w:bCs/>
          <w:rFonts w:ascii="Times New Roman" w:hAnsi="Times New Roman"/>
          <w:color w:val="00000A"/>
        </w:rPr>
      </w:pPr>
      <w:r>
        <w:rPr>
          <w:rFonts w:ascii="Times New Roman" w:hAnsi="Times New Roman"/>
          <w:b/>
          <w:bCs/>
        </w:rPr>
      </w:r>
      <w:r/>
    </w:p>
    <w:p>
      <w:pPr>
        <w:pStyle w:val="Normal"/>
        <w:rPr>
          <w:b/>
          <w:b/>
          <w:bCs/>
          <w:rFonts w:ascii="Times New Roman" w:hAnsi="Times New Roman"/>
        </w:rPr>
      </w:pPr>
      <w:r>
        <w:rPr>
          <w:rFonts w:ascii="Times New Roman" w:hAnsi="Times New Roman"/>
          <w:b/>
          <w:bCs/>
        </w:rPr>
        <w:t>Conclusions</w:t>
      </w:r>
      <w:r/>
    </w:p>
    <w:p>
      <w:pPr>
        <w:pStyle w:val="Normal"/>
        <w:rPr>
          <w:b/>
          <w:b/>
          <w:bCs/>
          <w:rFonts w:ascii="Times New Roman" w:hAnsi="Times New Roman"/>
          <w:color w:val="00000A"/>
        </w:rPr>
      </w:pPr>
      <w:r>
        <w:rPr>
          <w:rFonts w:ascii="Times New Roman" w:hAnsi="Times New Roman"/>
          <w:b/>
          <w:bCs/>
        </w:rPr>
      </w:r>
      <w:r/>
    </w:p>
    <w:p>
      <w:pPr>
        <w:pStyle w:val="Normal"/>
        <w:rPr>
          <w:b/>
          <w:b/>
          <w:bCs/>
          <w:rFonts w:ascii="Times New Roman" w:hAnsi="Times New Roman"/>
          <w:color w:val="00000A"/>
        </w:rPr>
      </w:pPr>
      <w:r>
        <w:rPr>
          <w:rFonts w:ascii="Times New Roman" w:hAnsi="Times New Roman"/>
          <w:b/>
          <w:bCs/>
        </w:rPr>
      </w:r>
      <w:r>
        <w:br w:type="page"/>
      </w:r>
      <w:r/>
    </w:p>
    <w:p>
      <w:pPr>
        <w:pStyle w:val="Normal"/>
        <w:rPr>
          <w:b/>
          <w:b/>
          <w:bCs/>
          <w:rFonts w:ascii="Times New Roman" w:hAnsi="Times New Roman"/>
        </w:rPr>
      </w:pPr>
      <w:r>
        <w:rPr>
          <w:rFonts w:ascii="Times New Roman" w:hAnsi="Times New Roman"/>
          <w:b/>
          <w:bCs/>
        </w:rPr>
        <w:t>Appendix</w:t>
      </w:r>
      <w:r/>
    </w:p>
    <w:p>
      <w:pPr>
        <w:pStyle w:val="Normal"/>
        <w:rPr>
          <w:b/>
          <w:b/>
          <w:bCs/>
          <w:rFonts w:ascii="Times New Roman" w:hAnsi="Times New Roman"/>
          <w:color w:val="00000A"/>
        </w:rPr>
      </w:pPr>
      <w:r>
        <w:rPr>
          <w:rFonts w:ascii="Times New Roman" w:hAnsi="Times New Roman"/>
          <w:b/>
          <w:bCs/>
        </w:rPr>
      </w:r>
      <w:r/>
    </w:p>
    <w:p>
      <w:pPr>
        <w:pStyle w:val="Normal"/>
        <w:rPr>
          <w:rFonts w:ascii="Times New Roman" w:hAnsi="Times New Roman"/>
        </w:rPr>
      </w:pPr>
      <w:r>
        <w:rPr>
          <w:rFonts w:ascii="Times New Roman" w:hAnsi="Times New Roman"/>
        </w:rPr>
        <w:t>List of short-a words included in cluster analysis and Mahalanobis distance categorization:</w:t>
      </w:r>
      <w:r/>
    </w:p>
    <w:p>
      <w:pPr>
        <w:pStyle w:val="Normal"/>
        <w:rPr>
          <w:i/>
          <w:i/>
        </w:rPr>
      </w:pPr>
      <w:r>
        <w:rPr>
          <w:i/>
        </w:rPr>
        <w:t>Threshold for classification: at least 5 tokens &amp; a 2:1 difference</w:t>
      </w:r>
      <w:r/>
    </w:p>
    <w:p>
      <w:pPr>
        <w:pStyle w:val="Normal"/>
        <w:rPr>
          <w:i/>
          <w:i/>
          <w:color w:val="00000A"/>
        </w:rPr>
      </w:pPr>
      <w:r>
        <w:rPr>
          <w:i/>
        </w:rPr>
      </w:r>
      <w:r/>
    </w:p>
    <w:p>
      <w:pPr>
        <w:sectPr>
          <w:footnotePr>
            <w:numFmt w:val="decimal"/>
          </w:footnotePr>
          <w:type w:val="continuous"/>
          <w:pgSz w:w="12240" w:h="15840"/>
          <w:pgMar w:left="1134" w:right="1134" w:header="0" w:top="1134" w:footer="0" w:bottom="1134" w:gutter="0"/>
          <w:formProt w:val="false"/>
          <w:textDirection w:val="lrTb"/>
          <w:docGrid w:type="default" w:linePitch="312" w:charSpace="4294961151"/>
        </w:sectPr>
      </w:pPr>
    </w:p>
    <w:p>
      <w:pPr>
        <w:pStyle w:val="Normal"/>
        <w:tabs>
          <w:tab w:val="right" w:pos="2430" w:leader="none"/>
          <w:tab w:val="right" w:pos="2880" w:leader="none"/>
        </w:tabs>
        <w:rPr>
          <w:u w:val="single"/>
          <w:b/>
          <w:b/>
          <w:bCs/>
          <w:rFonts w:ascii="Times New Roman" w:hAnsi="Times New Roman"/>
        </w:rPr>
      </w:pPr>
      <w:r>
        <w:rPr>
          <w:rFonts w:ascii="Times New Roman" w:hAnsi="Times New Roman"/>
          <w:b/>
          <w:bCs/>
          <w:u w:val="single"/>
        </w:rPr>
        <w:t xml:space="preserve">Word (lax)            ae </w:t>
        <w:tab/>
        <w:t>aeh</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ASPECT[S]          </w:t>
        <w:tab/>
        <w:t xml:space="preserve">8   </w:t>
        <w:tab/>
        <w:t>1</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ASPIRIN        </w:t>
        <w:tab/>
        <w:t xml:space="preserve">16   </w:t>
        <w:tab/>
        <w:t>1</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ASTERISK       </w:t>
        <w:tab/>
        <w:t xml:space="preserve"> 4   </w:t>
        <w:tab/>
        <w:t>1</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ASTEROID[S]        </w:t>
        <w:tab/>
        <w:t xml:space="preserve">5   </w:t>
        <w:tab/>
        <w:t>0</w:t>
      </w:r>
      <w:r/>
    </w:p>
    <w:p>
      <w:pPr>
        <w:pStyle w:val="Normal"/>
        <w:tabs>
          <w:tab w:val="right" w:pos="2430" w:leader="none"/>
          <w:tab w:val="right" w:pos="2880" w:leader="none"/>
        </w:tabs>
        <w:rPr>
          <w:bCs/>
          <w:rFonts w:ascii="Times New Roman" w:hAnsi="Times New Roman"/>
        </w:rPr>
      </w:pPr>
      <w:r>
        <w:br w:type="column"/>
      </w:r>
      <w:r>
        <w:rPr>
          <w:rFonts w:ascii="Times New Roman" w:hAnsi="Times New Roman"/>
          <w:b/>
          <w:bCs/>
          <w:u w:val="single"/>
        </w:rPr>
        <w:t xml:space="preserve">Word (tense)            </w:t>
        <w:tab/>
        <w:t xml:space="preserve">ae </w:t>
        <w:tab/>
        <w:t>aeh</w:t>
      </w:r>
      <w:r>
        <w:rPr>
          <w:rFonts w:ascii="Times New Roman" w:hAnsi="Times New Roman"/>
          <w:bCs/>
        </w:rPr>
        <w:t xml:space="preserve"> ALASKA[N]          </w:t>
        <w:tab/>
        <w:t xml:space="preserve">1   </w:t>
        <w:tab/>
        <w:t>6</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ASK[ED/ING]          </w:t>
        <w:tab/>
        <w:t xml:space="preserve"> 5 </w:t>
        <w:tab/>
        <w:t>178</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BASKET[S]          </w:t>
        <w:tab/>
        <w:t xml:space="preserve">0   </w:t>
        <w:tab/>
        <w:t>18</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BASKETBALL      </w:t>
        <w:tab/>
        <w:t xml:space="preserve">2  </w:t>
        <w:tab/>
        <w:t>77</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CASKET          </w:t>
        <w:tab/>
        <w:t xml:space="preserve">0   </w:t>
        <w:tab/>
        <w:t>5</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DISASTER        </w:t>
        <w:tab/>
        <w:t xml:space="preserve">0   </w:t>
        <w:tab/>
        <w:t>7</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DRASTICALLY     </w:t>
        <w:tab/>
        <w:t xml:space="preserve">1   </w:t>
        <w:tab/>
        <w:t>5</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FAST[ER/EST]          </w:t>
        <w:tab/>
        <w:t xml:space="preserve">1  </w:t>
        <w:tab/>
        <w:t>13</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LAST[ED/ING]          </w:t>
        <w:tab/>
        <w:t xml:space="preserve">3  </w:t>
        <w:tab/>
        <w:t>14</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MASTER[‘S/S]          </w:t>
        <w:tab/>
        <w:t xml:space="preserve">7   </w:t>
        <w:tab/>
        <w:t>29</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NASTY           </w:t>
        <w:tab/>
        <w:t xml:space="preserve">2  </w:t>
        <w:tab/>
        <w:t>11</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PASTOR[‘S/S]          </w:t>
        <w:tab/>
        <w:t xml:space="preserve">2  </w:t>
        <w:tab/>
        <w:t>17</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PLASTER         </w:t>
        <w:tab/>
        <w:t xml:space="preserve">1   </w:t>
        <w:tab/>
        <w:t>4</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PLASTIC         </w:t>
        <w:tab/>
        <w:t xml:space="preserve">1   </w:t>
        <w:tab/>
        <w:t>9</w:t>
      </w:r>
      <w:r/>
    </w:p>
    <w:p>
      <w:pPr>
        <w:pStyle w:val="Normal"/>
        <w:tabs>
          <w:tab w:val="right" w:pos="2430" w:leader="none"/>
          <w:tab w:val="right" w:pos="2880" w:leader="none"/>
        </w:tabs>
        <w:rPr>
          <w:bCs/>
          <w:rFonts w:ascii="Times New Roman" w:hAnsi="Times New Roman"/>
        </w:rPr>
      </w:pPr>
      <w:r>
        <w:rPr>
          <w:rFonts w:ascii="Times New Roman" w:hAnsi="Times New Roman"/>
          <w:bCs/>
        </w:rPr>
        <w:t xml:space="preserve">TASKER          </w:t>
        <w:tab/>
        <w:t xml:space="preserve">0  </w:t>
        <w:tab/>
        <w:t>25</w:t>
      </w:r>
      <w:r/>
    </w:p>
    <w:p>
      <w:pPr>
        <w:pStyle w:val="Normal"/>
        <w:tabs>
          <w:tab w:val="right" w:pos="2430" w:leader="none"/>
          <w:tab w:val="right" w:pos="2880" w:leader="none"/>
        </w:tabs>
        <w:rPr>
          <w:bCs/>
          <w:rFonts w:ascii="Times New Roman" w:hAnsi="Times New Roman"/>
        </w:rPr>
      </w:pPr>
      <w:r>
        <w:br w:type="column"/>
      </w:r>
      <w:r>
        <w:rPr>
          <w:rFonts w:ascii="Times New Roman" w:hAnsi="Times New Roman"/>
          <w:b/>
          <w:bCs/>
          <w:u w:val="single"/>
        </w:rPr>
        <w:t xml:space="preserve">Word (variable?)      </w:t>
        <w:tab/>
        <w:t xml:space="preserve">ae </w:t>
        <w:tab/>
        <w:t>aeh</w:t>
      </w:r>
      <w:r>
        <w:rPr>
          <w:rFonts w:ascii="Times New Roman" w:hAnsi="Times New Roman"/>
          <w:bCs/>
        </w:rPr>
        <w:t xml:space="preserve"> FANTASTIC[ALLY] </w:t>
        <w:tab/>
        <w:t xml:space="preserve">9   </w:t>
        <w:tab/>
        <w:t>5</w:t>
      </w:r>
      <w:r/>
    </w:p>
    <w:p>
      <w:pPr>
        <w:pStyle w:val="Normal"/>
        <w:tabs>
          <w:tab w:val="right" w:pos="2430" w:leader="none"/>
          <w:tab w:val="right" w:pos="2880" w:leader="none"/>
        </w:tabs>
        <w:rPr>
          <w:rFonts w:ascii="Times New Roman" w:hAnsi="Times New Roman"/>
          <w:color w:val="00000A"/>
        </w:rPr>
      </w:pPr>
      <w:r>
        <w:rPr>
          <w:rFonts w:ascii="Times New Roman" w:hAnsi="Times New Roman"/>
        </w:rPr>
      </w:r>
      <w:r/>
    </w:p>
    <w:p>
      <w:pPr>
        <w:pStyle w:val="Normal"/>
        <w:tabs>
          <w:tab w:val="left" w:pos="2345" w:leader="none"/>
        </w:tabs>
        <w:rPr>
          <w:rFonts w:ascii="Times New Roman" w:hAnsi="Times New Roman"/>
          <w:color w:val="00000A"/>
        </w:rPr>
      </w:pPr>
      <w:r>
        <w:rPr>
          <w:rFonts w:ascii="Times New Roman" w:hAnsi="Times New Roman"/>
        </w:rPr>
      </w:r>
      <w:r/>
    </w:p>
    <w:p>
      <w:pPr>
        <w:pStyle w:val="Normal"/>
        <w:widowControl/>
        <w:suppressAutoHyphens w:val="false"/>
        <w:rPr>
          <w:rFonts w:ascii="Times New Roman" w:hAnsi="Times New Roman"/>
          <w:color w:val="00000A"/>
        </w:rPr>
      </w:pPr>
      <w:r>
        <w:rPr>
          <w:rFonts w:ascii="Times New Roman" w:hAnsi="Times New Roman"/>
        </w:rPr>
      </w:r>
      <w:r/>
    </w:p>
    <w:p>
      <w:pPr>
        <w:pStyle w:val="Normal"/>
        <w:ind w:right="-6242" w:hanging="0"/>
        <w:rPr>
          <w:b/>
          <w:b/>
          <w:rFonts w:ascii="Times New Roman" w:hAnsi="Times New Roman"/>
        </w:rPr>
      </w:pPr>
      <w:r>
        <w:rPr>
          <w:rFonts w:ascii="Times New Roman" w:hAnsi="Times New Roman"/>
          <w:b/>
        </w:rPr>
        <w:t>TABLES</w:t>
      </w:r>
      <w:r/>
    </w:p>
    <w:p>
      <w:pPr>
        <w:pStyle w:val="Normal"/>
        <w:ind w:right="-6242" w:hanging="0"/>
        <w:rPr>
          <w:b/>
          <w:b/>
          <w:rFonts w:ascii="Times New Roman" w:hAnsi="Times New Roman"/>
          <w:color w:val="00000A"/>
        </w:rPr>
      </w:pPr>
      <w:r>
        <w:rPr>
          <w:rFonts w:ascii="Times New Roman" w:hAnsi="Times New Roman"/>
          <w:b/>
        </w:rPr>
      </w:r>
      <w:r/>
    </w:p>
    <w:p>
      <w:pPr>
        <w:pStyle w:val="Normal"/>
        <w:ind w:right="-6240" w:hanging="0"/>
        <w:rPr>
          <w:rFonts w:ascii="Times New Roman" w:hAnsi="Times New Roman"/>
        </w:rPr>
      </w:pPr>
      <w:bookmarkStart w:id="1" w:name="_Ref274584077"/>
      <w:r>
        <w:rPr/>
        <w:t xml:space="preserve">Table </w:t>
      </w:r>
      <w:r>
        <w:rPr/>
        <w:fldChar w:fldCharType="begin"/>
      </w:r>
      <w:r>
        <w:instrText> SEQ Table \* ARABIC </w:instrText>
      </w:r>
      <w:r>
        <w:fldChar w:fldCharType="separate"/>
      </w:r>
      <w:r>
        <w:t>1</w:t>
      </w:r>
      <w:r>
        <w:fldChar w:fldCharType="end"/>
      </w:r>
      <w:bookmarkEnd w:id="1"/>
      <w:r>
        <w:rPr/>
        <w:t>: Frequency by type and token of the subtypes of the (æBR) class.</w:t>
      </w:r>
      <w:r/>
    </w:p>
    <w:p>
      <w:pPr>
        <w:sectPr>
          <w:footnotePr>
            <w:numFmt w:val="decimal"/>
          </w:footnotePr>
          <w:type w:val="continuous"/>
          <w:pgSz w:w="12240" w:h="15840"/>
          <w:pgMar w:left="1134" w:right="1134" w:header="0" w:top="1134" w:footer="0" w:bottom="1134" w:gutter="0"/>
          <w:cols w:num="3" w:space="2" w:equalWidth="true" w:sep="false"/>
          <w:formProt w:val="false"/>
          <w:textDirection w:val="lrTb"/>
          <w:docGrid w:type="default" w:linePitch="312" w:charSpace="4294961151"/>
        </w:sectPr>
      </w:pPr>
    </w:p>
    <w:p>
      <w:pPr>
        <w:pStyle w:val="Normal"/>
        <w:widowControl/>
        <w:suppressAutoHyphens w:val="false"/>
        <w:rPr>
          <w:b/>
          <w:b/>
          <w:rFonts w:ascii="Times New Roman" w:hAnsi="Times New Roman"/>
          <w:color w:val="00000A"/>
        </w:rPr>
      </w:pPr>
      <w:r>
        <w:rPr>
          <w:rFonts w:ascii="Times New Roman" w:hAnsi="Times New Roman"/>
          <w:b/>
        </w:rPr>
      </w:r>
      <w:r>
        <w:br w:type="page"/>
      </w:r>
      <w:r>
        <mc:AlternateContent>
          <mc:Choice Requires="wps">
            <w:drawing>
              <wp:anchor behindDoc="0" distT="0" distB="0" distL="114300" distR="114300" simplePos="0" locked="0" layoutInCell="1" allowOverlap="1" relativeHeight="4">
                <wp:simplePos x="0" y="0"/>
                <wp:positionH relativeFrom="page">
                  <wp:posOffset>911860</wp:posOffset>
                </wp:positionH>
                <wp:positionV relativeFrom="paragraph">
                  <wp:posOffset>100330</wp:posOffset>
                </wp:positionV>
                <wp:extent cx="2109470" cy="4613910"/>
                <wp:effectExtent l="0" t="0" r="0" b="0"/>
                <wp:wrapSquare wrapText="bothSides"/>
                <wp:docPr id="2" name="Frame1"/>
                <a:graphic xmlns:a="http://schemas.openxmlformats.org/drawingml/2006/main">
                  <a:graphicData uri="http://schemas.microsoft.com/office/word/2010/wordprocessingShape">
                    <wps:wsp>
                      <wps:cNvSpPr txBox="1"/>
                      <wps:spPr>
                        <a:xfrm>
                          <a:off x="0" y="0"/>
                          <a:ext cx="2109470" cy="4613910"/>
                        </a:xfrm>
                        <a:prstGeom prst="rect"/>
                      </wps:spPr>
                      <wps:txbx>
                        <w:txbxContent>
                          <w:tbl>
                            <w:tblPr>
                              <w:tblStyle w:val="TableGrid"/>
                              <w:tblpPr w:bottomFromText="0" w:horzAnchor="page" w:leftFromText="180" w:rightFromText="180" w:tblpX="1549" w:tblpXSpec="" w:tblpY="158" w:tblpYSpec="" w:topFromText="0" w:vertAnchor="text"/>
                              <w:tblW w:w="5000" w:type="pct"/>
                              <w:jc w:val="left"/>
                              <w:tblInd w:w="108" w:type="dxa"/>
                              <w:tblBorders/>
                              <w:tblCellMar>
                                <w:top w:w="0" w:type="dxa"/>
                                <w:left w:w="103" w:type="dxa"/>
                                <w:bottom w:w="0" w:type="dxa"/>
                                <w:right w:w="108" w:type="dxa"/>
                              </w:tblCellMar>
                            </w:tblPr>
                            <w:tblGrid>
                              <w:gridCol w:w="1455"/>
                              <w:gridCol w:w="917"/>
                              <w:gridCol w:w="950"/>
                            </w:tblGrid>
                            <w:tr>
                              <w:trPr/>
                              <w:tc>
                                <w:tcPr>
                                  <w:tcW w:w="1455" w:type="dxa"/>
                                  <w:tcBorders/>
                                  <w:shd w:fill="auto" w:val="clear"/>
                                  <w:tcMar>
                                    <w:left w:w="103" w:type="dxa"/>
                                  </w:tcMar>
                                </w:tcPr>
                                <w:p>
                                  <w:pPr>
                                    <w:pStyle w:val="Normal"/>
                                  </w:pPr>
                                  <w:r>
                                    <w:rPr>
                                      <w:rFonts w:ascii="Times New Roman" w:hAnsi="Times New Roman"/>
                                    </w:rPr>
                                    <w:t>(æBR) frequency in short-a data:</w:t>
                                  </w:r>
                                </w:p>
                              </w:tc>
                              <w:tc>
                                <w:tcPr>
                                  <w:tcW w:w="917" w:type="dxa"/>
                                  <w:tcBorders/>
                                  <w:shd w:fill="auto" w:val="clear"/>
                                  <w:tcMar>
                                    <w:left w:w="103" w:type="dxa"/>
                                  </w:tcMar>
                                </w:tcPr>
                                <w:p>
                                  <w:pPr>
                                    <w:pStyle w:val="Normal"/>
                                  </w:pPr>
                                  <w:r>
                                    <w:rPr>
                                      <w:rFonts w:ascii="Times New Roman" w:hAnsi="Times New Roman"/>
                                    </w:rPr>
                                    <w:t>17% of 2,674 words (n=447)</w:t>
                                  </w:r>
                                </w:p>
                              </w:tc>
                              <w:tc>
                                <w:tcPr>
                                  <w:tcW w:w="950" w:type="dxa"/>
                                  <w:tcBorders/>
                                  <w:shd w:fill="auto" w:val="clear"/>
                                  <w:tcMar>
                                    <w:left w:w="103" w:type="dxa"/>
                                  </w:tcMar>
                                </w:tcPr>
                                <w:p>
                                  <w:pPr>
                                    <w:pStyle w:val="Normal"/>
                                  </w:pPr>
                                  <w:r>
                                    <w:rPr>
                                      <w:rFonts w:ascii="Times New Roman" w:hAnsi="Times New Roman"/>
                                    </w:rPr>
                                    <w:t>20% of 33,399 tokens (n=6,646)</w:t>
                                  </w:r>
                                </w:p>
                              </w:tc>
                            </w:tr>
                            <w:tr>
                              <w:trPr/>
                              <w:tc>
                                <w:tcPr>
                                  <w:tcW w:w="1455" w:type="dxa"/>
                                  <w:tcBorders/>
                                  <w:shd w:fill="auto" w:val="clear"/>
                                  <w:tcMar>
                                    <w:left w:w="103" w:type="dxa"/>
                                  </w:tcMar>
                                </w:tcPr>
                                <w:p>
                                  <w:pPr>
                                    <w:pStyle w:val="Normal"/>
                                  </w:pPr>
                                  <w:r>
                                    <w:rPr>
                                      <w:rFonts w:ascii="Times New Roman" w:hAnsi="Times New Roman"/>
                                      <w:b/>
                                    </w:rPr>
                                    <w:t>Condition</w:t>
                                  </w:r>
                                </w:p>
                              </w:tc>
                              <w:tc>
                                <w:tcPr>
                                  <w:tcW w:w="917" w:type="dxa"/>
                                  <w:tcBorders/>
                                  <w:shd w:fill="auto" w:val="clear"/>
                                  <w:tcMar>
                                    <w:left w:w="103" w:type="dxa"/>
                                  </w:tcMar>
                                </w:tcPr>
                                <w:p>
                                  <w:pPr>
                                    <w:pStyle w:val="Normal"/>
                                  </w:pPr>
                                  <w:r>
                                    <w:rPr>
                                      <w:rFonts w:ascii="Times New Roman" w:hAnsi="Times New Roman"/>
                                      <w:b/>
                                    </w:rPr>
                                    <w:t>Type frequency</w:t>
                                  </w:r>
                                </w:p>
                              </w:tc>
                              <w:tc>
                                <w:tcPr>
                                  <w:tcW w:w="950" w:type="dxa"/>
                                  <w:tcBorders/>
                                  <w:shd w:fill="auto" w:val="clear"/>
                                  <w:tcMar>
                                    <w:left w:w="103" w:type="dxa"/>
                                  </w:tcMar>
                                </w:tcPr>
                                <w:p>
                                  <w:pPr>
                                    <w:pStyle w:val="Normal"/>
                                  </w:pPr>
                                  <w:r>
                                    <w:rPr>
                                      <w:rFonts w:ascii="Times New Roman" w:hAnsi="Times New Roman"/>
                                      <w:b/>
                                    </w:rPr>
                                    <w:t>Token frequency</w:t>
                                  </w:r>
                                </w:p>
                              </w:tc>
                            </w:tr>
                            <w:tr>
                              <w:trPr/>
                              <w:tc>
                                <w:tcPr>
                                  <w:tcW w:w="1455" w:type="dxa"/>
                                  <w:tcBorders/>
                                  <w:shd w:fill="auto" w:val="clear"/>
                                  <w:tcMar>
                                    <w:left w:w="103" w:type="dxa"/>
                                  </w:tcMar>
                                </w:tcPr>
                                <w:p>
                                  <w:pPr>
                                    <w:pStyle w:val="Normal"/>
                                    <w:ind w:right="-4936" w:hanging="0"/>
                                  </w:pPr>
                                  <w:r>
                                    <w:rPr>
                                      <w:rFonts w:ascii="Times New Roman" w:hAnsi="Times New Roman"/>
                                    </w:rPr>
                                    <w:t xml:space="preserve">Following vowel </w:t>
                                  </w:r>
                                </w:p>
                              </w:tc>
                              <w:tc>
                                <w:tcPr>
                                  <w:tcW w:w="917" w:type="dxa"/>
                                  <w:tcBorders/>
                                  <w:shd w:fill="auto" w:val="clear"/>
                                  <w:tcMar>
                                    <w:left w:w="103" w:type="dxa"/>
                                  </w:tcMar>
                                </w:tcPr>
                                <w:p>
                                  <w:pPr>
                                    <w:pStyle w:val="Normal"/>
                                  </w:pPr>
                                  <w:r>
                                    <w:rPr>
                                      <w:rFonts w:ascii="Times New Roman" w:hAnsi="Times New Roman"/>
                                    </w:rPr>
                                    <w:t>40% (n=181)</w:t>
                                  </w:r>
                                </w:p>
                              </w:tc>
                              <w:tc>
                                <w:tcPr>
                                  <w:tcW w:w="950" w:type="dxa"/>
                                  <w:tcBorders/>
                                  <w:shd w:fill="auto" w:val="clear"/>
                                  <w:tcMar>
                                    <w:left w:w="103" w:type="dxa"/>
                                  </w:tcMar>
                                </w:tcPr>
                                <w:p>
                                  <w:pPr>
                                    <w:pStyle w:val="Normal"/>
                                  </w:pPr>
                                  <w:r>
                                    <w:rPr>
                                      <w:rFonts w:ascii="Times New Roman" w:hAnsi="Times New Roman"/>
                                    </w:rPr>
                                    <w:t>20% (n=1,321)</w:t>
                                  </w:r>
                                </w:p>
                              </w:tc>
                            </w:tr>
                            <w:tr>
                              <w:trPr/>
                              <w:tc>
                                <w:tcPr>
                                  <w:tcW w:w="1455" w:type="dxa"/>
                                  <w:tcBorders/>
                                  <w:shd w:fill="auto" w:val="clear"/>
                                  <w:tcMar>
                                    <w:left w:w="103" w:type="dxa"/>
                                  </w:tcMar>
                                </w:tcPr>
                                <w:p>
                                  <w:pPr>
                                    <w:pStyle w:val="Normal"/>
                                  </w:pPr>
                                  <w:r>
                                    <w:rPr>
                                      <w:rFonts w:ascii="Times New Roman" w:hAnsi="Times New Roman"/>
                                    </w:rPr>
                                    <w:t xml:space="preserve">Following /l/ </w:t>
                                  </w:r>
                                </w:p>
                              </w:tc>
                              <w:tc>
                                <w:tcPr>
                                  <w:tcW w:w="917" w:type="dxa"/>
                                  <w:tcBorders/>
                                  <w:shd w:fill="auto" w:val="clear"/>
                                  <w:tcMar>
                                    <w:left w:w="103" w:type="dxa"/>
                                  </w:tcMar>
                                </w:tcPr>
                                <w:p>
                                  <w:pPr>
                                    <w:pStyle w:val="Normal"/>
                                  </w:pPr>
                                  <w:r>
                                    <w:rPr>
                                      <w:rFonts w:ascii="Times New Roman" w:hAnsi="Times New Roman"/>
                                    </w:rPr>
                                    <w:t>33% (n=149)</w:t>
                                  </w:r>
                                </w:p>
                              </w:tc>
                              <w:tc>
                                <w:tcPr>
                                  <w:tcW w:w="950" w:type="dxa"/>
                                  <w:tcBorders/>
                                  <w:shd w:fill="auto" w:val="clear"/>
                                  <w:tcMar>
                                    <w:left w:w="103" w:type="dxa"/>
                                  </w:tcMar>
                                </w:tcPr>
                                <w:p>
                                  <w:pPr>
                                    <w:pStyle w:val="Normal"/>
                                  </w:pPr>
                                  <w:r>
                                    <w:rPr>
                                      <w:rFonts w:ascii="Times New Roman" w:hAnsi="Times New Roman"/>
                                    </w:rPr>
                                    <w:t>29% (n=1,914)</w:t>
                                  </w:r>
                                </w:p>
                              </w:tc>
                            </w:tr>
                            <w:tr>
                              <w:trPr/>
                              <w:tc>
                                <w:tcPr>
                                  <w:tcW w:w="1455" w:type="dxa"/>
                                  <w:tcBorders/>
                                  <w:shd w:fill="auto" w:val="clear"/>
                                  <w:tcMar>
                                    <w:left w:w="103" w:type="dxa"/>
                                  </w:tcMar>
                                </w:tcPr>
                                <w:p>
                                  <w:pPr>
                                    <w:pStyle w:val="Normal"/>
                                  </w:pPr>
                                  <w:r>
                                    <w:rPr>
                                      <w:rFonts w:ascii="Times New Roman" w:hAnsi="Times New Roman"/>
                                    </w:rPr>
                                    <w:t xml:space="preserve">Following </w:t>
                                  </w:r>
                                  <w:r>
                                    <w:rPr>
                                      <w:rFonts w:ascii="Times New Roman" w:hAnsi="Times New Roman"/>
                                      <w:i/>
                                      <w:iCs/>
                                    </w:rPr>
                                    <w:t>s</w:t>
                                  </w:r>
                                  <w:r>
                                    <w:rPr>
                                      <w:rFonts w:ascii="Times New Roman" w:hAnsi="Times New Roman"/>
                                      <w:i w:val="false"/>
                                      <w:iCs w:val="false"/>
                                    </w:rPr>
                                    <w:t xml:space="preserve">C </w:t>
                                  </w:r>
                                  <w:r>
                                    <w:rPr>
                                      <w:rFonts w:ascii="Times New Roman" w:hAnsi="Times New Roman"/>
                                    </w:rPr>
                                    <w:t>cluster</w:t>
                                  </w:r>
                                </w:p>
                              </w:tc>
                              <w:tc>
                                <w:tcPr>
                                  <w:tcW w:w="917" w:type="dxa"/>
                                  <w:tcBorders/>
                                  <w:shd w:fill="auto" w:val="clear"/>
                                  <w:tcMar>
                                    <w:left w:w="103" w:type="dxa"/>
                                  </w:tcMar>
                                </w:tcPr>
                                <w:p>
                                  <w:pPr>
                                    <w:pStyle w:val="Normal"/>
                                  </w:pPr>
                                  <w:r>
                                    <w:rPr>
                                      <w:rFonts w:ascii="Times New Roman" w:hAnsi="Times New Roman"/>
                                    </w:rPr>
                                    <w:t>15% (n=65)</w:t>
                                  </w:r>
                                </w:p>
                              </w:tc>
                              <w:tc>
                                <w:tcPr>
                                  <w:tcW w:w="950" w:type="dxa"/>
                                  <w:tcBorders/>
                                  <w:shd w:fill="auto" w:val="clear"/>
                                  <w:tcMar>
                                    <w:left w:w="103" w:type="dxa"/>
                                  </w:tcMar>
                                </w:tcPr>
                                <w:p>
                                  <w:pPr>
                                    <w:pStyle w:val="Normal"/>
                                  </w:pPr>
                                  <w:r>
                                    <w:rPr>
                                      <w:rFonts w:ascii="Times New Roman" w:hAnsi="Times New Roman"/>
                                    </w:rPr>
                                    <w:t>11% (n=716)</w:t>
                                  </w:r>
                                </w:p>
                              </w:tc>
                            </w:tr>
                            <w:tr>
                              <w:trPr/>
                              <w:tc>
                                <w:tcPr>
                                  <w:tcW w:w="1455" w:type="dxa"/>
                                  <w:tcBorders/>
                                  <w:shd w:fill="auto" w:val="clear"/>
                                  <w:tcMar>
                                    <w:left w:w="103" w:type="dxa"/>
                                  </w:tcMar>
                                </w:tcPr>
                                <w:p>
                                  <w:pPr>
                                    <w:pStyle w:val="Normal"/>
                                  </w:pPr>
                                  <w:r>
                                    <w:rPr>
                                      <w:rFonts w:ascii="Times New Roman" w:hAnsi="Times New Roman"/>
                                    </w:rPr>
                                    <w:t xml:space="preserve">Lexical exceptions </w:t>
                                  </w:r>
                                </w:p>
                              </w:tc>
                              <w:tc>
                                <w:tcPr>
                                  <w:tcW w:w="917" w:type="dxa"/>
                                  <w:tcBorders/>
                                  <w:shd w:fill="auto" w:val="clear"/>
                                  <w:tcMar>
                                    <w:left w:w="103" w:type="dxa"/>
                                  </w:tcMar>
                                </w:tcPr>
                                <w:p>
                                  <w:pPr>
                                    <w:pStyle w:val="Normal"/>
                                  </w:pPr>
                                  <w:r>
                                    <w:rPr>
                                      <w:rFonts w:ascii="Times New Roman" w:hAnsi="Times New Roman"/>
                                    </w:rPr>
                                    <w:t>5% (n=23)</w:t>
                                  </w:r>
                                </w:p>
                              </w:tc>
                              <w:tc>
                                <w:tcPr>
                                  <w:tcW w:w="950" w:type="dxa"/>
                                  <w:tcBorders/>
                                  <w:shd w:fill="auto" w:val="clear"/>
                                  <w:tcMar>
                                    <w:left w:w="103" w:type="dxa"/>
                                  </w:tcMar>
                                </w:tcPr>
                                <w:p>
                                  <w:pPr>
                                    <w:pStyle w:val="Normal"/>
                                  </w:pPr>
                                  <w:r>
                                    <w:rPr>
                                      <w:rFonts w:ascii="Times New Roman" w:hAnsi="Times New Roman"/>
                                    </w:rPr>
                                    <w:t>34% (n=2,252)</w:t>
                                  </w:r>
                                </w:p>
                              </w:tc>
                            </w:tr>
                            <w:tr>
                              <w:trPr/>
                              <w:tc>
                                <w:tcPr>
                                  <w:tcW w:w="1455" w:type="dxa"/>
                                  <w:tcBorders/>
                                  <w:shd w:fill="auto" w:val="clear"/>
                                  <w:tcMar>
                                    <w:left w:w="103" w:type="dxa"/>
                                  </w:tcMar>
                                </w:tcPr>
                                <w:p>
                                  <w:pPr>
                                    <w:pStyle w:val="Normal"/>
                                  </w:pPr>
                                  <w:r>
                                    <w:rPr>
                                      <w:rFonts w:ascii="Times New Roman" w:hAnsi="Times New Roman"/>
                                    </w:rPr>
                                    <w:t xml:space="preserve">CMU variation </w:t>
                                  </w:r>
                                </w:p>
                              </w:tc>
                              <w:tc>
                                <w:tcPr>
                                  <w:tcW w:w="917" w:type="dxa"/>
                                  <w:tcBorders/>
                                  <w:shd w:fill="auto" w:val="clear"/>
                                  <w:tcMar>
                                    <w:left w:w="103" w:type="dxa"/>
                                  </w:tcMar>
                                </w:tcPr>
                                <w:p>
                                  <w:pPr>
                                    <w:pStyle w:val="Normal"/>
                                  </w:pPr>
                                  <w:r>
                                    <w:rPr>
                                      <w:rFonts w:ascii="Times New Roman" w:hAnsi="Times New Roman"/>
                                    </w:rPr>
                                    <w:t>5% (n=22)</w:t>
                                  </w:r>
                                </w:p>
                              </w:tc>
                              <w:tc>
                                <w:tcPr>
                                  <w:tcW w:w="950" w:type="dxa"/>
                                  <w:tcBorders/>
                                  <w:shd w:fill="auto" w:val="clear"/>
                                  <w:tcMar>
                                    <w:left w:w="103" w:type="dxa"/>
                                  </w:tcMar>
                                </w:tcPr>
                                <w:p>
                                  <w:pPr>
                                    <w:pStyle w:val="Normal"/>
                                  </w:pPr>
                                  <w:r>
                                    <w:rPr>
                                      <w:rFonts w:ascii="Times New Roman" w:hAnsi="Times New Roman"/>
                                    </w:rPr>
                                    <w:t>3% (n=240)</w:t>
                                  </w:r>
                                </w:p>
                              </w:tc>
                            </w:tr>
                            <w:tr>
                              <w:trPr/>
                              <w:tc>
                                <w:tcPr>
                                  <w:tcW w:w="1455" w:type="dxa"/>
                                  <w:tcBorders/>
                                  <w:shd w:fill="auto" w:val="clear"/>
                                  <w:tcMar>
                                    <w:left w:w="103" w:type="dxa"/>
                                  </w:tcMar>
                                </w:tcPr>
                                <w:p>
                                  <w:pPr>
                                    <w:pStyle w:val="Normal"/>
                                  </w:pPr>
                                  <w:bookmarkStart w:id="2" w:name="__UnoMark__3164_1104365180"/>
                                  <w:bookmarkEnd w:id="2"/>
                                  <w:r>
                                    <w:rPr>
                                      <w:rFonts w:ascii="Times New Roman" w:hAnsi="Times New Roman"/>
                                      <w:i/>
                                      <w:iCs/>
                                    </w:rPr>
                                    <w:t>-arry</w:t>
                                  </w:r>
                                  <w:bookmarkStart w:id="3" w:name="__UnoMark__3165_1104365180"/>
                                  <w:bookmarkEnd w:id="3"/>
                                  <w:r>
                                    <w:rPr>
                                      <w:rFonts w:ascii="Times New Roman" w:hAnsi="Times New Roman"/>
                                    </w:rPr>
                                    <w:t xml:space="preserve"> words</w:t>
                                  </w:r>
                                </w:p>
                              </w:tc>
                              <w:tc>
                                <w:tcPr>
                                  <w:tcW w:w="917" w:type="dxa"/>
                                  <w:tcBorders/>
                                  <w:shd w:fill="auto" w:val="clear"/>
                                  <w:tcMar>
                                    <w:left w:w="103" w:type="dxa"/>
                                  </w:tcMar>
                                </w:tcPr>
                                <w:p>
                                  <w:pPr>
                                    <w:pStyle w:val="Normal"/>
                                  </w:pPr>
                                  <w:bookmarkStart w:id="4" w:name="__UnoMark__3166_1104365180"/>
                                  <w:bookmarkStart w:id="5" w:name="__UnoMark__3167_1104365180"/>
                                  <w:bookmarkEnd w:id="4"/>
                                  <w:bookmarkEnd w:id="5"/>
                                  <w:r>
                                    <w:rPr>
                                      <w:rFonts w:ascii="Times New Roman" w:hAnsi="Times New Roman"/>
                                    </w:rPr>
                                    <w:t>2% (n=7)</w:t>
                                  </w:r>
                                </w:p>
                              </w:tc>
                              <w:tc>
                                <w:tcPr>
                                  <w:tcW w:w="950" w:type="dxa"/>
                                  <w:tcBorders/>
                                  <w:shd w:fill="auto" w:val="clear"/>
                                  <w:tcMar>
                                    <w:left w:w="103" w:type="dxa"/>
                                  </w:tcMar>
                                </w:tcPr>
                                <w:p>
                                  <w:pPr>
                                    <w:pStyle w:val="Normal"/>
                                  </w:pPr>
                                  <w:bookmarkStart w:id="6" w:name="__UnoMark__3168_1104365180"/>
                                  <w:bookmarkEnd w:id="6"/>
                                  <w:r>
                                    <w:rPr>
                                      <w:rFonts w:ascii="Times New Roman" w:hAnsi="Times New Roman"/>
                                    </w:rPr>
                                    <w:t>3% (n=203)</w:t>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width:166.1pt;height:363.3pt;mso-wrap-distance-left:9pt;mso-wrap-distance-right:9pt;mso-wrap-distance-top:0pt;mso-wrap-distance-bottom:0pt;margin-top:7.9pt;margin-left:71.8pt">
                <v:textbox inset="0in,0in,0in,0in">
                  <w:txbxContent>
                    <w:tbl>
                      <w:tblPr>
                        <w:tblStyle w:val="TableGrid"/>
                        <w:tblpPr w:bottomFromText="0" w:horzAnchor="page" w:leftFromText="180" w:rightFromText="180" w:tblpX="1549" w:tblpXSpec="" w:tblpY="158" w:tblpYSpec="" w:topFromText="0" w:vertAnchor="text"/>
                        <w:tblW w:w="5000" w:type="pct"/>
                        <w:jc w:val="left"/>
                        <w:tblInd w:w="108" w:type="dxa"/>
                        <w:tblBorders/>
                        <w:tblCellMar>
                          <w:top w:w="0" w:type="dxa"/>
                          <w:left w:w="103" w:type="dxa"/>
                          <w:bottom w:w="0" w:type="dxa"/>
                          <w:right w:w="108" w:type="dxa"/>
                        </w:tblCellMar>
                      </w:tblPr>
                      <w:tblGrid>
                        <w:gridCol w:w="1455"/>
                        <w:gridCol w:w="917"/>
                        <w:gridCol w:w="950"/>
                      </w:tblGrid>
                      <w:tr>
                        <w:trPr/>
                        <w:tc>
                          <w:tcPr>
                            <w:tcW w:w="1455" w:type="dxa"/>
                            <w:tcBorders/>
                            <w:shd w:fill="auto" w:val="clear"/>
                            <w:tcMar>
                              <w:left w:w="103" w:type="dxa"/>
                            </w:tcMar>
                          </w:tcPr>
                          <w:p>
                            <w:pPr>
                              <w:pStyle w:val="Normal"/>
                            </w:pPr>
                            <w:r>
                              <w:rPr>
                                <w:rFonts w:ascii="Times New Roman" w:hAnsi="Times New Roman"/>
                              </w:rPr>
                              <w:t>(æBR) frequency in short-a data:</w:t>
                            </w:r>
                          </w:p>
                        </w:tc>
                        <w:tc>
                          <w:tcPr>
                            <w:tcW w:w="917" w:type="dxa"/>
                            <w:tcBorders/>
                            <w:shd w:fill="auto" w:val="clear"/>
                            <w:tcMar>
                              <w:left w:w="103" w:type="dxa"/>
                            </w:tcMar>
                          </w:tcPr>
                          <w:p>
                            <w:pPr>
                              <w:pStyle w:val="Normal"/>
                            </w:pPr>
                            <w:r>
                              <w:rPr>
                                <w:rFonts w:ascii="Times New Roman" w:hAnsi="Times New Roman"/>
                              </w:rPr>
                              <w:t>17% of 2,674 words (n=447)</w:t>
                            </w:r>
                          </w:p>
                        </w:tc>
                        <w:tc>
                          <w:tcPr>
                            <w:tcW w:w="950" w:type="dxa"/>
                            <w:tcBorders/>
                            <w:shd w:fill="auto" w:val="clear"/>
                            <w:tcMar>
                              <w:left w:w="103" w:type="dxa"/>
                            </w:tcMar>
                          </w:tcPr>
                          <w:p>
                            <w:pPr>
                              <w:pStyle w:val="Normal"/>
                            </w:pPr>
                            <w:r>
                              <w:rPr>
                                <w:rFonts w:ascii="Times New Roman" w:hAnsi="Times New Roman"/>
                              </w:rPr>
                              <w:t>20% of 33,399 tokens (n=6,646)</w:t>
                            </w:r>
                          </w:p>
                        </w:tc>
                      </w:tr>
                      <w:tr>
                        <w:trPr/>
                        <w:tc>
                          <w:tcPr>
                            <w:tcW w:w="1455" w:type="dxa"/>
                            <w:tcBorders/>
                            <w:shd w:fill="auto" w:val="clear"/>
                            <w:tcMar>
                              <w:left w:w="103" w:type="dxa"/>
                            </w:tcMar>
                          </w:tcPr>
                          <w:p>
                            <w:pPr>
                              <w:pStyle w:val="Normal"/>
                            </w:pPr>
                            <w:r>
                              <w:rPr>
                                <w:rFonts w:ascii="Times New Roman" w:hAnsi="Times New Roman"/>
                                <w:b/>
                              </w:rPr>
                              <w:t>Condition</w:t>
                            </w:r>
                          </w:p>
                        </w:tc>
                        <w:tc>
                          <w:tcPr>
                            <w:tcW w:w="917" w:type="dxa"/>
                            <w:tcBorders/>
                            <w:shd w:fill="auto" w:val="clear"/>
                            <w:tcMar>
                              <w:left w:w="103" w:type="dxa"/>
                            </w:tcMar>
                          </w:tcPr>
                          <w:p>
                            <w:pPr>
                              <w:pStyle w:val="Normal"/>
                            </w:pPr>
                            <w:r>
                              <w:rPr>
                                <w:rFonts w:ascii="Times New Roman" w:hAnsi="Times New Roman"/>
                                <w:b/>
                              </w:rPr>
                              <w:t>Type frequency</w:t>
                            </w:r>
                          </w:p>
                        </w:tc>
                        <w:tc>
                          <w:tcPr>
                            <w:tcW w:w="950" w:type="dxa"/>
                            <w:tcBorders/>
                            <w:shd w:fill="auto" w:val="clear"/>
                            <w:tcMar>
                              <w:left w:w="103" w:type="dxa"/>
                            </w:tcMar>
                          </w:tcPr>
                          <w:p>
                            <w:pPr>
                              <w:pStyle w:val="Normal"/>
                            </w:pPr>
                            <w:r>
                              <w:rPr>
                                <w:rFonts w:ascii="Times New Roman" w:hAnsi="Times New Roman"/>
                                <w:b/>
                              </w:rPr>
                              <w:t>Token frequency</w:t>
                            </w:r>
                          </w:p>
                        </w:tc>
                      </w:tr>
                      <w:tr>
                        <w:trPr/>
                        <w:tc>
                          <w:tcPr>
                            <w:tcW w:w="1455" w:type="dxa"/>
                            <w:tcBorders/>
                            <w:shd w:fill="auto" w:val="clear"/>
                            <w:tcMar>
                              <w:left w:w="103" w:type="dxa"/>
                            </w:tcMar>
                          </w:tcPr>
                          <w:p>
                            <w:pPr>
                              <w:pStyle w:val="Normal"/>
                              <w:ind w:right="-4936" w:hanging="0"/>
                            </w:pPr>
                            <w:r>
                              <w:rPr>
                                <w:rFonts w:ascii="Times New Roman" w:hAnsi="Times New Roman"/>
                              </w:rPr>
                              <w:t xml:space="preserve">Following vowel </w:t>
                            </w:r>
                          </w:p>
                        </w:tc>
                        <w:tc>
                          <w:tcPr>
                            <w:tcW w:w="917" w:type="dxa"/>
                            <w:tcBorders/>
                            <w:shd w:fill="auto" w:val="clear"/>
                            <w:tcMar>
                              <w:left w:w="103" w:type="dxa"/>
                            </w:tcMar>
                          </w:tcPr>
                          <w:p>
                            <w:pPr>
                              <w:pStyle w:val="Normal"/>
                            </w:pPr>
                            <w:r>
                              <w:rPr>
                                <w:rFonts w:ascii="Times New Roman" w:hAnsi="Times New Roman"/>
                              </w:rPr>
                              <w:t>40% (n=181)</w:t>
                            </w:r>
                          </w:p>
                        </w:tc>
                        <w:tc>
                          <w:tcPr>
                            <w:tcW w:w="950" w:type="dxa"/>
                            <w:tcBorders/>
                            <w:shd w:fill="auto" w:val="clear"/>
                            <w:tcMar>
                              <w:left w:w="103" w:type="dxa"/>
                            </w:tcMar>
                          </w:tcPr>
                          <w:p>
                            <w:pPr>
                              <w:pStyle w:val="Normal"/>
                            </w:pPr>
                            <w:r>
                              <w:rPr>
                                <w:rFonts w:ascii="Times New Roman" w:hAnsi="Times New Roman"/>
                              </w:rPr>
                              <w:t>20% (n=1,321)</w:t>
                            </w:r>
                          </w:p>
                        </w:tc>
                      </w:tr>
                      <w:tr>
                        <w:trPr/>
                        <w:tc>
                          <w:tcPr>
                            <w:tcW w:w="1455" w:type="dxa"/>
                            <w:tcBorders/>
                            <w:shd w:fill="auto" w:val="clear"/>
                            <w:tcMar>
                              <w:left w:w="103" w:type="dxa"/>
                            </w:tcMar>
                          </w:tcPr>
                          <w:p>
                            <w:pPr>
                              <w:pStyle w:val="Normal"/>
                            </w:pPr>
                            <w:r>
                              <w:rPr>
                                <w:rFonts w:ascii="Times New Roman" w:hAnsi="Times New Roman"/>
                              </w:rPr>
                              <w:t xml:space="preserve">Following /l/ </w:t>
                            </w:r>
                          </w:p>
                        </w:tc>
                        <w:tc>
                          <w:tcPr>
                            <w:tcW w:w="917" w:type="dxa"/>
                            <w:tcBorders/>
                            <w:shd w:fill="auto" w:val="clear"/>
                            <w:tcMar>
                              <w:left w:w="103" w:type="dxa"/>
                            </w:tcMar>
                          </w:tcPr>
                          <w:p>
                            <w:pPr>
                              <w:pStyle w:val="Normal"/>
                            </w:pPr>
                            <w:r>
                              <w:rPr>
                                <w:rFonts w:ascii="Times New Roman" w:hAnsi="Times New Roman"/>
                              </w:rPr>
                              <w:t>33% (n=149)</w:t>
                            </w:r>
                          </w:p>
                        </w:tc>
                        <w:tc>
                          <w:tcPr>
                            <w:tcW w:w="950" w:type="dxa"/>
                            <w:tcBorders/>
                            <w:shd w:fill="auto" w:val="clear"/>
                            <w:tcMar>
                              <w:left w:w="103" w:type="dxa"/>
                            </w:tcMar>
                          </w:tcPr>
                          <w:p>
                            <w:pPr>
                              <w:pStyle w:val="Normal"/>
                            </w:pPr>
                            <w:r>
                              <w:rPr>
                                <w:rFonts w:ascii="Times New Roman" w:hAnsi="Times New Roman"/>
                              </w:rPr>
                              <w:t>29% (n=1,914)</w:t>
                            </w:r>
                          </w:p>
                        </w:tc>
                      </w:tr>
                      <w:tr>
                        <w:trPr/>
                        <w:tc>
                          <w:tcPr>
                            <w:tcW w:w="1455" w:type="dxa"/>
                            <w:tcBorders/>
                            <w:shd w:fill="auto" w:val="clear"/>
                            <w:tcMar>
                              <w:left w:w="103" w:type="dxa"/>
                            </w:tcMar>
                          </w:tcPr>
                          <w:p>
                            <w:pPr>
                              <w:pStyle w:val="Normal"/>
                            </w:pPr>
                            <w:r>
                              <w:rPr>
                                <w:rFonts w:ascii="Times New Roman" w:hAnsi="Times New Roman"/>
                              </w:rPr>
                              <w:t xml:space="preserve">Following </w:t>
                            </w:r>
                            <w:r>
                              <w:rPr>
                                <w:rFonts w:ascii="Times New Roman" w:hAnsi="Times New Roman"/>
                                <w:i/>
                                <w:iCs/>
                              </w:rPr>
                              <w:t>s</w:t>
                            </w:r>
                            <w:r>
                              <w:rPr>
                                <w:rFonts w:ascii="Times New Roman" w:hAnsi="Times New Roman"/>
                                <w:i w:val="false"/>
                                <w:iCs w:val="false"/>
                              </w:rPr>
                              <w:t xml:space="preserve">C </w:t>
                            </w:r>
                            <w:r>
                              <w:rPr>
                                <w:rFonts w:ascii="Times New Roman" w:hAnsi="Times New Roman"/>
                              </w:rPr>
                              <w:t>cluster</w:t>
                            </w:r>
                          </w:p>
                        </w:tc>
                        <w:tc>
                          <w:tcPr>
                            <w:tcW w:w="917" w:type="dxa"/>
                            <w:tcBorders/>
                            <w:shd w:fill="auto" w:val="clear"/>
                            <w:tcMar>
                              <w:left w:w="103" w:type="dxa"/>
                            </w:tcMar>
                          </w:tcPr>
                          <w:p>
                            <w:pPr>
                              <w:pStyle w:val="Normal"/>
                            </w:pPr>
                            <w:r>
                              <w:rPr>
                                <w:rFonts w:ascii="Times New Roman" w:hAnsi="Times New Roman"/>
                              </w:rPr>
                              <w:t>15% (n=65)</w:t>
                            </w:r>
                          </w:p>
                        </w:tc>
                        <w:tc>
                          <w:tcPr>
                            <w:tcW w:w="950" w:type="dxa"/>
                            <w:tcBorders/>
                            <w:shd w:fill="auto" w:val="clear"/>
                            <w:tcMar>
                              <w:left w:w="103" w:type="dxa"/>
                            </w:tcMar>
                          </w:tcPr>
                          <w:p>
                            <w:pPr>
                              <w:pStyle w:val="Normal"/>
                            </w:pPr>
                            <w:r>
                              <w:rPr>
                                <w:rFonts w:ascii="Times New Roman" w:hAnsi="Times New Roman"/>
                              </w:rPr>
                              <w:t>11% (n=716)</w:t>
                            </w:r>
                          </w:p>
                        </w:tc>
                      </w:tr>
                      <w:tr>
                        <w:trPr/>
                        <w:tc>
                          <w:tcPr>
                            <w:tcW w:w="1455" w:type="dxa"/>
                            <w:tcBorders/>
                            <w:shd w:fill="auto" w:val="clear"/>
                            <w:tcMar>
                              <w:left w:w="103" w:type="dxa"/>
                            </w:tcMar>
                          </w:tcPr>
                          <w:p>
                            <w:pPr>
                              <w:pStyle w:val="Normal"/>
                            </w:pPr>
                            <w:r>
                              <w:rPr>
                                <w:rFonts w:ascii="Times New Roman" w:hAnsi="Times New Roman"/>
                              </w:rPr>
                              <w:t xml:space="preserve">Lexical exceptions </w:t>
                            </w:r>
                          </w:p>
                        </w:tc>
                        <w:tc>
                          <w:tcPr>
                            <w:tcW w:w="917" w:type="dxa"/>
                            <w:tcBorders/>
                            <w:shd w:fill="auto" w:val="clear"/>
                            <w:tcMar>
                              <w:left w:w="103" w:type="dxa"/>
                            </w:tcMar>
                          </w:tcPr>
                          <w:p>
                            <w:pPr>
                              <w:pStyle w:val="Normal"/>
                            </w:pPr>
                            <w:r>
                              <w:rPr>
                                <w:rFonts w:ascii="Times New Roman" w:hAnsi="Times New Roman"/>
                              </w:rPr>
                              <w:t>5% (n=23)</w:t>
                            </w:r>
                          </w:p>
                        </w:tc>
                        <w:tc>
                          <w:tcPr>
                            <w:tcW w:w="950" w:type="dxa"/>
                            <w:tcBorders/>
                            <w:shd w:fill="auto" w:val="clear"/>
                            <w:tcMar>
                              <w:left w:w="103" w:type="dxa"/>
                            </w:tcMar>
                          </w:tcPr>
                          <w:p>
                            <w:pPr>
                              <w:pStyle w:val="Normal"/>
                            </w:pPr>
                            <w:r>
                              <w:rPr>
                                <w:rFonts w:ascii="Times New Roman" w:hAnsi="Times New Roman"/>
                              </w:rPr>
                              <w:t>34% (n=2,252)</w:t>
                            </w:r>
                          </w:p>
                        </w:tc>
                      </w:tr>
                      <w:tr>
                        <w:trPr/>
                        <w:tc>
                          <w:tcPr>
                            <w:tcW w:w="1455" w:type="dxa"/>
                            <w:tcBorders/>
                            <w:shd w:fill="auto" w:val="clear"/>
                            <w:tcMar>
                              <w:left w:w="103" w:type="dxa"/>
                            </w:tcMar>
                          </w:tcPr>
                          <w:p>
                            <w:pPr>
                              <w:pStyle w:val="Normal"/>
                            </w:pPr>
                            <w:r>
                              <w:rPr>
                                <w:rFonts w:ascii="Times New Roman" w:hAnsi="Times New Roman"/>
                              </w:rPr>
                              <w:t xml:space="preserve">CMU variation </w:t>
                            </w:r>
                          </w:p>
                        </w:tc>
                        <w:tc>
                          <w:tcPr>
                            <w:tcW w:w="917" w:type="dxa"/>
                            <w:tcBorders/>
                            <w:shd w:fill="auto" w:val="clear"/>
                            <w:tcMar>
                              <w:left w:w="103" w:type="dxa"/>
                            </w:tcMar>
                          </w:tcPr>
                          <w:p>
                            <w:pPr>
                              <w:pStyle w:val="Normal"/>
                            </w:pPr>
                            <w:r>
                              <w:rPr>
                                <w:rFonts w:ascii="Times New Roman" w:hAnsi="Times New Roman"/>
                              </w:rPr>
                              <w:t>5% (n=22)</w:t>
                            </w:r>
                          </w:p>
                        </w:tc>
                        <w:tc>
                          <w:tcPr>
                            <w:tcW w:w="950" w:type="dxa"/>
                            <w:tcBorders/>
                            <w:shd w:fill="auto" w:val="clear"/>
                            <w:tcMar>
                              <w:left w:w="103" w:type="dxa"/>
                            </w:tcMar>
                          </w:tcPr>
                          <w:p>
                            <w:pPr>
                              <w:pStyle w:val="Normal"/>
                            </w:pPr>
                            <w:r>
                              <w:rPr>
                                <w:rFonts w:ascii="Times New Roman" w:hAnsi="Times New Roman"/>
                              </w:rPr>
                              <w:t>3% (n=240)</w:t>
                            </w:r>
                          </w:p>
                        </w:tc>
                      </w:tr>
                      <w:tr>
                        <w:trPr/>
                        <w:tc>
                          <w:tcPr>
                            <w:tcW w:w="1455" w:type="dxa"/>
                            <w:tcBorders/>
                            <w:shd w:fill="auto" w:val="clear"/>
                            <w:tcMar>
                              <w:left w:w="103" w:type="dxa"/>
                            </w:tcMar>
                          </w:tcPr>
                          <w:p>
                            <w:pPr>
                              <w:pStyle w:val="Normal"/>
                            </w:pPr>
                            <w:bookmarkStart w:id="7" w:name="__UnoMark__3164_1104365180"/>
                            <w:bookmarkEnd w:id="7"/>
                            <w:r>
                              <w:rPr>
                                <w:rFonts w:ascii="Times New Roman" w:hAnsi="Times New Roman"/>
                                <w:i/>
                                <w:iCs/>
                              </w:rPr>
                              <w:t>-arry</w:t>
                            </w:r>
                            <w:bookmarkStart w:id="8" w:name="__UnoMark__3165_1104365180"/>
                            <w:bookmarkEnd w:id="8"/>
                            <w:r>
                              <w:rPr>
                                <w:rFonts w:ascii="Times New Roman" w:hAnsi="Times New Roman"/>
                              </w:rPr>
                              <w:t xml:space="preserve"> words</w:t>
                            </w:r>
                          </w:p>
                        </w:tc>
                        <w:tc>
                          <w:tcPr>
                            <w:tcW w:w="917" w:type="dxa"/>
                            <w:tcBorders/>
                            <w:shd w:fill="auto" w:val="clear"/>
                            <w:tcMar>
                              <w:left w:w="103" w:type="dxa"/>
                            </w:tcMar>
                          </w:tcPr>
                          <w:p>
                            <w:pPr>
                              <w:pStyle w:val="Normal"/>
                            </w:pPr>
                            <w:bookmarkStart w:id="9" w:name="__UnoMark__3166_1104365180"/>
                            <w:bookmarkStart w:id="10" w:name="__UnoMark__3167_1104365180"/>
                            <w:bookmarkEnd w:id="9"/>
                            <w:bookmarkEnd w:id="10"/>
                            <w:r>
                              <w:rPr>
                                <w:rFonts w:ascii="Times New Roman" w:hAnsi="Times New Roman"/>
                              </w:rPr>
                              <w:t>2% (n=7)</w:t>
                            </w:r>
                          </w:p>
                        </w:tc>
                        <w:tc>
                          <w:tcPr>
                            <w:tcW w:w="950" w:type="dxa"/>
                            <w:tcBorders/>
                            <w:shd w:fill="auto" w:val="clear"/>
                            <w:tcMar>
                              <w:left w:w="103" w:type="dxa"/>
                            </w:tcMar>
                          </w:tcPr>
                          <w:p>
                            <w:pPr>
                              <w:pStyle w:val="Normal"/>
                            </w:pPr>
                            <w:bookmarkStart w:id="11" w:name="__UnoMark__3168_1104365180"/>
                            <w:bookmarkEnd w:id="11"/>
                            <w:r>
                              <w:rPr>
                                <w:rFonts w:ascii="Times New Roman" w:hAnsi="Times New Roman"/>
                              </w:rPr>
                              <w:t>3% (n=203)</w:t>
                            </w:r>
                          </w:p>
                        </w:tc>
                      </w:tr>
                    </w:tbl>
                  </w:txbxContent>
                </v:textbox>
                <w10:wrap type="square"/>
              </v:rect>
            </w:pict>
          </mc:Fallback>
        </mc:AlternateContent>
      </w:r>
      <w:r/>
    </w:p>
    <w:p>
      <w:pPr>
        <w:pStyle w:val="Normal"/>
        <w:tabs>
          <w:tab w:val="left" w:pos="2345" w:leader="none"/>
        </w:tabs>
        <w:rPr>
          <w:b/>
          <w:b/>
          <w:rFonts w:ascii="Times New Roman" w:hAnsi="Times New Roman"/>
        </w:rPr>
      </w:pPr>
      <w:r>
        <w:rPr>
          <w:rFonts w:ascii="Times New Roman" w:hAnsi="Times New Roman"/>
          <w:b/>
        </w:rPr>
        <w:t>Figures</w:t>
      </w:r>
      <w:r/>
    </w:p>
    <w:p>
      <w:pPr>
        <w:pStyle w:val="Normal"/>
        <w:tabs>
          <w:tab w:val="left" w:pos="2345" w:leader="none"/>
        </w:tabs>
        <w:rPr>
          <w:rFonts w:ascii="Times New Roman" w:hAnsi="Times New Roman"/>
          <w:color w:val="00000A"/>
        </w:rPr>
      </w:pPr>
      <w:r>
        <w:rPr>
          <w:rFonts w:ascii="Times New Roman" w:hAnsi="Times New Roman"/>
        </w:rPr>
      </w:r>
      <w:r/>
    </w:p>
    <w:p>
      <w:pPr>
        <w:pStyle w:val="Normal"/>
        <w:tabs>
          <w:tab w:val="left" w:pos="2345" w:leader="none"/>
        </w:tabs>
        <w:rPr>
          <w:color w:val="00000A"/>
        </w:rPr>
      </w:pPr>
      <w:r>
        <w:rPr/>
        <mc:AlternateContent>
          <mc:Choice Requires="wpg">
            <w:drawing>
              <wp:anchor behindDoc="1" distT="0" distB="0" distL="114300" distR="114300" simplePos="0" locked="0" layoutInCell="1" allowOverlap="1" relativeHeight="3">
                <wp:simplePos x="0" y="0"/>
                <wp:positionH relativeFrom="column">
                  <wp:align>center</wp:align>
                </wp:positionH>
                <wp:positionV relativeFrom="paragraph">
                  <wp:posOffset>484505</wp:posOffset>
                </wp:positionV>
                <wp:extent cx="4098290" cy="4088765"/>
                <wp:effectExtent l="0" t="0" r="0" b="0"/>
                <wp:wrapSquare wrapText="bothSides"/>
                <wp:docPr id="3" name=""/>
                <a:graphic xmlns:a="http://schemas.openxmlformats.org/drawingml/2006/main">
                  <a:graphicData uri="http://schemas.microsoft.com/office/word/2010/wordprocessingGroup">
                    <wpg:wgp>
                      <wpg:cNvGrpSpPr/>
                      <wpg:grpSpPr>
                        <a:xfrm>
                          <a:off x="0" y="0"/>
                          <a:ext cx="4097520" cy="4088160"/>
                        </a:xfrm>
                      </wpg:grpSpPr>
                      <pic:pic xmlns:pic="http://schemas.openxmlformats.org/drawingml/2006/picture">
                        <pic:nvPicPr>
                          <pic:cNvPr id="0" name="Picture 3" descr=""/>
                          <pic:cNvPicPr/>
                        </pic:nvPicPr>
                        <pic:blipFill>
                          <a:blip r:embed="rId3"/>
                          <a:stretch/>
                        </pic:blipFill>
                        <pic:spPr>
                          <a:xfrm>
                            <a:off x="0" y="0"/>
                            <a:ext cx="4097520" cy="3542760"/>
                          </a:xfrm>
                          <a:prstGeom prst="rect">
                            <a:avLst/>
                          </a:prstGeom>
                          <a:ln>
                            <a:noFill/>
                          </a:ln>
                        </pic:spPr>
                      </pic:pic>
                      <wps:wsp>
                        <wps:cNvSpPr/>
                        <wps:spPr>
                          <a:xfrm>
                            <a:off x="302760" y="3736800"/>
                            <a:ext cx="3497040" cy="351000"/>
                          </a:xfrm>
                          <a:prstGeom prst="rect">
                            <a:avLst/>
                          </a:prstGeom>
                          <a:noFill/>
                          <a:ln>
                            <a:noFill/>
                          </a:ln>
                        </wps:spPr>
                        <wps:style>
                          <a:lnRef idx="0"/>
                          <a:fillRef idx="0"/>
                          <a:effectRef idx="0"/>
                          <a:fontRef idx="minor"/>
                        </wps:style>
                        <wps:txbx>
                          <w:txbxContent>
                            <w:p>
                              <w:pPr>
                                <w:jc w:val="center"/>
                              </w:pPr>
                              <w:r>
                                <w:rPr/>
                                <w:t>Figure 1: Proposed scheme for automated short-a coding.</w:t>
                              </w:r>
                            </w:p>
                            <w:p>
                              <w:pPr>
                                <w:jc w:val="center"/>
                              </w:pPr>
                              <w:r>
                                <w:rPr/>
                              </w:r>
                            </w:p>
                          </w:txbxContent>
                        </wps:txbx>
                        <wps:bodyPr lIns="0" rIns="0" tIns="0" bIns="0"/>
                      </wps:wsp>
                    </wpg:wgp>
                  </a:graphicData>
                </a:graphic>
              </wp:anchor>
            </w:drawing>
          </mc:Choice>
          <mc:Fallback>
            <w:pict>
              <v:group id="shape_0" style="position:absolute;margin-left:-56.7pt;margin-top:38.15pt;width:322.65pt;height:321.9pt" coordorigin="-1134,763" coordsize="6453,6438">
                <v:rect id="shape_0" ID="Picture 3" stroked="f" style="position:absolute;left:-1134;top:763;width:6452;height:5578;mso-position-horizontal:center">
                  <v:imagedata r:id="rId4" o:detectmouseclick="t"/>
                  <w10:wrap type="none"/>
                  <v:stroke color="#3465a4" joinstyle="round" endcap="flat"/>
                </v:rect>
                <v:shapetype id="shapetype_202" coordsize="21600,21600" o:spt="202" path="m,l,21600l21600,21600l21600,xe">
                  <v:stroke joinstyle="miter"/>
                  <v:path gradientshapeok="t" o:connecttype="rect"/>
                </v:shapetype>
                <v:shape id="shape_0" stroked="f" style="position:absolute;left:-657;top:6648;width:5506;height:552;mso-position-horizontal:center" type="shapetype_202">
                  <v:textbox>
                    <w:txbxContent>
                      <w:p>
                        <w:pPr>
                          <w:jc w:val="center"/>
                        </w:pPr>
                        <w:r>
                          <w:rPr/>
                          <w:t>Figure 1: Proposed scheme for automated short-a coding.</w:t>
                        </w:r>
                      </w:p>
                      <w:p>
                        <w:pPr>
                          <w:jc w:val="center"/>
                        </w:pPr>
                        <w:r>
                          <w:rPr/>
                        </w:r>
                      </w:p>
                    </w:txbxContent>
                  </v:textbox>
                  <w10:wrap type="none"/>
                  <v:fill on="false" o:detectmouseclick="t"/>
                  <v:stroke color="#3465a4" joinstyle="round" endcap="flat"/>
                </v:shape>
              </v:group>
            </w:pict>
          </mc:Fallback>
        </mc:AlternateContent>
      </w:r>
      <w:r/>
    </w:p>
    <w:sectPr>
      <w:footnotePr>
        <w:numFmt w:val="decimal"/>
      </w:footnotePr>
      <w:type w:val="continuous"/>
      <w:pgSz w:w="12240" w:h="15840"/>
      <w:pgMar w:left="1134" w:right="1134" w:header="0" w:top="1134" w:footer="0" w:bottom="1134" w:gutter="0"/>
      <w:cols w:num="3" w:space="2" w:equalWidth="true" w:sep="false"/>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ilary Prichard" w:date="2014-10-10T17:22:00Z" w:initials="HP">
    <w:p>
      <w:r>
        <w:rPr/>
        <w:t>Some folks (Kendall et al…Dinkin?) have asserted it’s ok to use Euclidean after Lobanov because of the rescaled space, so maybe this needs a nod to that &amp; further explanation?</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Style w:val="Footnotereference"/>
        </w:rPr>
        <w:footnoteRef/>
        <w:tab/>
      </w:r>
      <w:r>
        <w:rPr/>
        <w:t xml:space="preserve"> </w:t>
      </w:r>
      <w:r>
        <w:rPr>
          <w:rFonts w:ascii="Times New Roman" w:hAnsi="Times New Roman"/>
        </w:rPr>
        <w:t xml:space="preserve">Some researchers (e.g., Adank et al. 2004, Flynn 2011) also consider the Mel transform a form of vowel normalization. However, as Clopper 2009 (1432) points out, it is not truly a normalization algorithm, but rather a scale transformation that “more closely approximates human auditory processing.” </w:t>
      </w:r>
      <w:r>
        <w:rPr>
          <w:rFonts w:ascii="Times New Roman" w:hAnsi="Times New Roman"/>
          <w:bCs/>
        </w:rPr>
        <w:t>Crucially, this transform does not minimize interspeaker variation due to physiological or anatomical differences, as it does not make use of any speaker-specific statistics.</w:t>
      </w:r>
      <w:r/>
    </w:p>
  </w:footnote>
  <w:footnote w:id="3">
    <w:p>
      <w:pPr>
        <w:pStyle w:val="Footnote"/>
        <w:rPr>
          <w:color w:val="00000A"/>
        </w:rPr>
      </w:pPr>
      <w:r>
        <w:rPr/>
        <w:footnoteRef/>
        <w:tab/>
        <w:t xml:space="preserve"> </w:t>
      </w:r>
      <w:r>
        <w:rPr/>
        <w:t>These are likely to be particularly pronounced in the lower left corner of the vowel trapezoid, where vowel fronting demands concomitant vowel raising.</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footnotePr>
    <w:numFmt w:val="decimal"/>
    <w:footnote w:id="0"/>
    <w:footnote w:id="1"/>
  </w:footnotePr>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customStyle="1">
    <w:name w:val="ListLabel 5"/>
    <w:rPr>
      <w:rFonts w:cs="Symbol"/>
    </w:rPr>
  </w:style>
  <w:style w:type="character" w:styleId="ListLabel6" w:customStyle="1">
    <w:name w:val="ListLabel 6"/>
    <w:rPr>
      <w:rFonts w:cs="OpenSymbol"/>
    </w:rPr>
  </w:style>
  <w:style w:type="character" w:styleId="CommentTextChar" w:customStyle="1">
    <w:name w:val="Comment Text Char"/>
    <w:basedOn w:val="DefaultParagraphFont"/>
    <w:link w:val="CommentText"/>
    <w:uiPriority w:val="99"/>
    <w:semiHidden/>
    <w:rPr>
      <w:color w:val="00000A"/>
    </w:rPr>
  </w:style>
  <w:style w:type="character" w:styleId="Annotationreference">
    <w:name w:val="annotation reference"/>
    <w:basedOn w:val="DefaultParagraphFont"/>
    <w:uiPriority w:val="99"/>
    <w:semiHidden/>
    <w:unhideWhenUsed/>
    <w:rPr>
      <w:sz w:val="18"/>
      <w:szCs w:val="18"/>
    </w:rPr>
  </w:style>
  <w:style w:type="character" w:styleId="BalloonTextChar" w:customStyle="1">
    <w:name w:val="Balloon Text Char"/>
    <w:basedOn w:val="DefaultParagraphFont"/>
    <w:link w:val="BalloonText"/>
    <w:uiPriority w:val="99"/>
    <w:semiHidden/>
    <w:rsid w:val="0069792b"/>
    <w:rPr>
      <w:rFonts w:ascii="Lucida Grande" w:hAnsi="Lucida Grande"/>
      <w:color w:val="00000A"/>
      <w:sz w:val="18"/>
      <w:szCs w:val="18"/>
    </w:rPr>
  </w:style>
  <w:style w:type="character" w:styleId="ListLabel7" w:customStyle="1">
    <w:name w:val="ListLabel 7"/>
    <w:rPr>
      <w:rFonts w:cs="Symbol"/>
    </w:rPr>
  </w:style>
  <w:style w:type="character" w:styleId="ListLabel8" w:customStyle="1">
    <w:name w:val="ListLabel 8"/>
    <w:rPr>
      <w:rFonts w:cs="OpenSymbol"/>
    </w:rPr>
  </w:style>
  <w:style w:type="character" w:styleId="HeaderChar" w:customStyle="1">
    <w:name w:val="Header Char"/>
    <w:basedOn w:val="DefaultParagraphFont"/>
    <w:link w:val="Header"/>
    <w:uiPriority w:val="99"/>
    <w:rsid w:val="00025122"/>
    <w:rPr>
      <w:color w:val="00000A"/>
    </w:rPr>
  </w:style>
  <w:style w:type="character" w:styleId="FooterChar" w:customStyle="1">
    <w:name w:val="Footer Char"/>
    <w:basedOn w:val="DefaultParagraphFont"/>
    <w:link w:val="Footer"/>
    <w:uiPriority w:val="99"/>
    <w:rsid w:val="00025122"/>
    <w:rPr>
      <w:color w:val="00000A"/>
    </w:rPr>
  </w:style>
  <w:style w:type="character" w:styleId="CommentSubjectChar" w:customStyle="1">
    <w:name w:val="Comment Subject Char"/>
    <w:basedOn w:val="CommentTextChar"/>
    <w:link w:val="CommentSubject"/>
    <w:uiPriority w:val="99"/>
    <w:semiHidden/>
    <w:rsid w:val="00ec5dac"/>
    <w:rPr>
      <w:b/>
      <w:bCs/>
      <w:color w:val="00000A"/>
      <w:sz w:val="20"/>
      <w:szCs w:val="20"/>
    </w:rPr>
  </w:style>
  <w:style w:type="character" w:styleId="FootnoteTextChar" w:customStyle="1">
    <w:name w:val="Footnote Text Char"/>
    <w:basedOn w:val="DefaultParagraphFont"/>
    <w:link w:val="FootnoteText"/>
    <w:uiPriority w:val="99"/>
    <w:rsid w:val="00735243"/>
    <w:rPr>
      <w:color w:val="00000A"/>
    </w:rPr>
  </w:style>
  <w:style w:type="character" w:styleId="Footnotereference">
    <w:name w:val="footnote reference"/>
    <w:basedOn w:val="DefaultParagraphFont"/>
    <w:uiPriority w:val="99"/>
    <w:unhideWhenUsed/>
    <w:rsid w:val="00735243"/>
    <w:rPr>
      <w:vertAlign w:val="superscript"/>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eastAsia="Arial Unicode MS" w:cs="Arial Unicode MS"/>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customStyle="1">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rPr>
  </w:style>
  <w:style w:type="paragraph" w:styleId="Annotationtext">
    <w:name w:val="annotation text"/>
    <w:basedOn w:val="Normal"/>
    <w:link w:val="CommentTextChar"/>
    <w:uiPriority w:val="99"/>
    <w:semiHidden/>
    <w:unhideWhenUsed/>
    <w:pPr/>
    <w:rPr/>
  </w:style>
  <w:style w:type="paragraph" w:styleId="BalloonText">
    <w:name w:val="Balloon Text"/>
    <w:basedOn w:val="Normal"/>
    <w:link w:val="BalloonTextChar"/>
    <w:uiPriority w:val="99"/>
    <w:semiHidden/>
    <w:unhideWhenUsed/>
    <w:rsid w:val="0069792b"/>
    <w:pPr/>
    <w:rPr>
      <w:rFonts w:ascii="Lucida Grande" w:hAnsi="Lucida Grande"/>
      <w:sz w:val="18"/>
      <w:szCs w:val="18"/>
    </w:rPr>
  </w:style>
  <w:style w:type="paragraph" w:styleId="ListParagraph">
    <w:name w:val="List Paragraph"/>
    <w:basedOn w:val="Normal"/>
    <w:uiPriority w:val="34"/>
    <w:qFormat/>
    <w:rsid w:val="00b7733a"/>
    <w:pPr>
      <w:spacing w:before="0" w:after="0"/>
      <w:ind w:left="720" w:hanging="0"/>
      <w:contextualSpacing/>
    </w:pPr>
    <w:rPr/>
  </w:style>
  <w:style w:type="paragraph" w:styleId="Header">
    <w:name w:val="Header"/>
    <w:basedOn w:val="Normal"/>
    <w:link w:val="HeaderChar"/>
    <w:uiPriority w:val="99"/>
    <w:unhideWhenUsed/>
    <w:rsid w:val="00025122"/>
    <w:pPr>
      <w:tabs>
        <w:tab w:val="center" w:pos="4320" w:leader="none"/>
        <w:tab w:val="right" w:pos="8640" w:leader="none"/>
      </w:tabs>
    </w:pPr>
    <w:rPr/>
  </w:style>
  <w:style w:type="paragraph" w:styleId="Footer">
    <w:name w:val="Footer"/>
    <w:basedOn w:val="Normal"/>
    <w:link w:val="FooterChar"/>
    <w:uiPriority w:val="99"/>
    <w:unhideWhenUsed/>
    <w:rsid w:val="00025122"/>
    <w:pPr>
      <w:tabs>
        <w:tab w:val="center" w:pos="4320" w:leader="none"/>
        <w:tab w:val="right" w:pos="8640" w:leader="none"/>
      </w:tabs>
    </w:pPr>
    <w:rPr/>
  </w:style>
  <w:style w:type="paragraph" w:styleId="Annotationsubject">
    <w:name w:val="annotation subject"/>
    <w:basedOn w:val="Annotationtext"/>
    <w:link w:val="CommentSubjectChar"/>
    <w:uiPriority w:val="99"/>
    <w:semiHidden/>
    <w:unhideWhenUsed/>
    <w:rsid w:val="00ec5dac"/>
    <w:pPr/>
    <w:rPr>
      <w:b/>
      <w:bCs/>
      <w:sz w:val="20"/>
      <w:szCs w:val="20"/>
    </w:rPr>
  </w:style>
  <w:style w:type="paragraph" w:styleId="Footnotetext">
    <w:name w:val="footnote text"/>
    <w:basedOn w:val="Normal"/>
    <w:link w:val="FootnoteTextChar"/>
    <w:uiPriority w:val="99"/>
    <w:unhideWhenUsed/>
    <w:rsid w:val="00735243"/>
    <w:pPr/>
    <w:rPr/>
  </w:style>
  <w:style w:type="paragraph" w:styleId="Footnote">
    <w:name w:val="Footnote"/>
    <w:basedOn w:val="Normal"/>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46597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CED20-4F82-C143-9104-B981FF56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29303</TotalTime>
  <Application>LibreOffice/4.3.1.2$MacOSX_X86_64 LibreOffice_project/958349dc3b25111dbca392fbc281a05559ef6848</Application>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2014-08-14T14:01:00Z</dcterms:created>
  <dc:language>en-US</dc:language>
  <dcterms:modified xsi:type="dcterms:W3CDTF">2014-10-10T20:46:24Z</dcterms:modified>
  <cp:revision>111</cp:revision>
</cp:coreProperties>
</file>