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3BE6" w:rsidRDefault="004D3BE6"/>
    <w:p w:rsidR="002963C7" w:rsidRDefault="002963C7">
      <w:pPr>
        <w:rPr>
          <w:b/>
        </w:rPr>
      </w:pPr>
    </w:p>
    <w:p w:rsidR="002963C7" w:rsidRPr="00245E5F" w:rsidRDefault="002963C7" w:rsidP="00120715">
      <w:pPr>
        <w:spacing w:before="120" w:after="120"/>
        <w:jc w:val="center"/>
        <w:rPr>
          <w:b/>
          <w:smallCaps/>
          <w:sz w:val="28"/>
        </w:rPr>
      </w:pPr>
      <w:r w:rsidRPr="00245E5F">
        <w:rPr>
          <w:b/>
          <w:smallCaps/>
          <w:sz w:val="28"/>
        </w:rPr>
        <w:t>e-Freight</w:t>
      </w:r>
    </w:p>
    <w:p w:rsidR="002963C7" w:rsidRPr="00245E5F" w:rsidRDefault="002963C7" w:rsidP="00120715">
      <w:pPr>
        <w:spacing w:before="120" w:after="120"/>
        <w:jc w:val="center"/>
        <w:rPr>
          <w:b/>
          <w:sz w:val="28"/>
        </w:rPr>
      </w:pPr>
      <w:r w:rsidRPr="00245E5F">
        <w:rPr>
          <w:b/>
          <w:bCs/>
          <w:color w:val="000000"/>
          <w:sz w:val="28"/>
        </w:rPr>
        <w:t>European e-Freight capabilities for Co-modal transport</w:t>
      </w:r>
    </w:p>
    <w:p w:rsidR="002963C7" w:rsidRDefault="002963C7" w:rsidP="00120715">
      <w:pPr>
        <w:jc w:val="center"/>
        <w:rPr>
          <w:b/>
        </w:rPr>
      </w:pPr>
    </w:p>
    <w:p w:rsidR="002963C7" w:rsidRDefault="002963C7" w:rsidP="00120715">
      <w:pPr>
        <w:jc w:val="center"/>
        <w:rPr>
          <w:b/>
        </w:rPr>
      </w:pPr>
      <w:r>
        <w:rPr>
          <w:b/>
        </w:rPr>
        <w:t>Review comments on Deliverables 2.4-2.5</w:t>
      </w:r>
    </w:p>
    <w:p w:rsidR="002963C7" w:rsidRDefault="002963C7" w:rsidP="00120715">
      <w:pPr>
        <w:jc w:val="center"/>
        <w:rPr>
          <w:b/>
        </w:rPr>
      </w:pPr>
      <w:r>
        <w:rPr>
          <w:b/>
        </w:rPr>
        <w:t xml:space="preserve">Bill </w:t>
      </w:r>
      <w:proofErr w:type="spellStart"/>
      <w:r>
        <w:rPr>
          <w:b/>
        </w:rPr>
        <w:t>Karakostas</w:t>
      </w:r>
      <w:proofErr w:type="spellEnd"/>
    </w:p>
    <w:p w:rsidR="002963C7" w:rsidRDefault="002963C7" w:rsidP="00120715">
      <w:pPr>
        <w:jc w:val="center"/>
        <w:rPr>
          <w:b/>
        </w:rPr>
      </w:pPr>
      <w:r>
        <w:rPr>
          <w:b/>
        </w:rPr>
        <w:t>31 July 2011</w:t>
      </w:r>
    </w:p>
    <w:p w:rsidR="002963C7" w:rsidRDefault="002963C7">
      <w:pPr>
        <w:rPr>
          <w:b/>
        </w:rPr>
      </w:pPr>
    </w:p>
    <w:p w:rsidR="002963C7" w:rsidRDefault="002963C7">
      <w:pPr>
        <w:rPr>
          <w:b/>
        </w:rPr>
      </w:pPr>
    </w:p>
    <w:p w:rsidR="004D3BE6" w:rsidRPr="00AA1041" w:rsidRDefault="004D3BE6">
      <w:pPr>
        <w:rPr>
          <w:b/>
        </w:rPr>
      </w:pPr>
      <w:r w:rsidRPr="00AA1041">
        <w:rPr>
          <w:b/>
        </w:rPr>
        <w:t>Integration with other technical systems in e-Freight</w:t>
      </w:r>
    </w:p>
    <w:p w:rsidR="00AA1041" w:rsidRDefault="00956D2C">
      <w:proofErr w:type="gramStart"/>
      <w:r>
        <w:t>e-Freight</w:t>
      </w:r>
      <w:proofErr w:type="gramEnd"/>
      <w:r>
        <w:t xml:space="preserve"> is an integrated project</w:t>
      </w:r>
      <w:r w:rsidR="00120715">
        <w:t xml:space="preserve">, </w:t>
      </w:r>
      <w:r>
        <w:t xml:space="preserve"> therefore each </w:t>
      </w:r>
      <w:proofErr w:type="spellStart"/>
      <w:r>
        <w:t>workpackage</w:t>
      </w:r>
      <w:proofErr w:type="spellEnd"/>
      <w:r>
        <w:t xml:space="preserve"> and task  deliverable  must be guided by and integrated into some kind of overall ‘framework’ or ‘architecture’</w:t>
      </w:r>
      <w:r w:rsidR="0012773F">
        <w:t>.  Therefore:</w:t>
      </w:r>
    </w:p>
    <w:p w:rsidR="004D3BE6" w:rsidRDefault="004D3BE6">
      <w:r>
        <w:t>Explain how SESA</w:t>
      </w:r>
      <w:r w:rsidR="00956D2C">
        <w:t xml:space="preserve"> platform</w:t>
      </w:r>
      <w:r>
        <w:t xml:space="preserve"> approach relates to other work in the e-Freight</w:t>
      </w:r>
      <w:r w:rsidR="006A0B97">
        <w:t xml:space="preserve"> </w:t>
      </w:r>
      <w:proofErr w:type="gramStart"/>
      <w:r>
        <w:t xml:space="preserve">Framework  </w:t>
      </w:r>
      <w:r w:rsidR="006A0B97">
        <w:t>in</w:t>
      </w:r>
      <w:proofErr w:type="gramEnd"/>
      <w:r w:rsidR="006A0B97">
        <w:t xml:space="preserve"> particular deliverables 2.1 (</w:t>
      </w:r>
      <w:r>
        <w:t>the e-Freight Platform</w:t>
      </w:r>
      <w:r w:rsidR="006A0B97">
        <w:t xml:space="preserve">) and  2.3 (e-Freight ontology). </w:t>
      </w:r>
      <w:r w:rsidR="00120715">
        <w:t xml:space="preserve"> Refer perhaps to the architecture of Figure 4 to explain that. For example, how does the SESA repository gets populated with semantic service descriptions?</w:t>
      </w:r>
    </w:p>
    <w:p w:rsidR="00956D2C" w:rsidRPr="007A4A67" w:rsidRDefault="00A169A5">
      <w:pPr>
        <w:rPr>
          <w:i/>
          <w:color w:val="FF0000"/>
        </w:rPr>
      </w:pPr>
      <w:r>
        <w:rPr>
          <w:i/>
          <w:color w:val="FF0000"/>
        </w:rPr>
        <w:t>Response: we can add an introduction to</w:t>
      </w:r>
      <w:r w:rsidR="007A4A67">
        <w:rPr>
          <w:i/>
          <w:color w:val="FF0000"/>
        </w:rPr>
        <w:t xml:space="preserve"> better</w:t>
      </w:r>
      <w:r>
        <w:rPr>
          <w:i/>
          <w:color w:val="FF0000"/>
        </w:rPr>
        <w:t xml:space="preserve"> position the work in this sense.</w:t>
      </w:r>
    </w:p>
    <w:p w:rsidR="00956D2C" w:rsidRPr="00956D2C" w:rsidRDefault="00956D2C">
      <w:pPr>
        <w:rPr>
          <w:b/>
        </w:rPr>
      </w:pPr>
      <w:proofErr w:type="gramStart"/>
      <w:r w:rsidRPr="00956D2C">
        <w:rPr>
          <w:b/>
        </w:rPr>
        <w:t>The  process</w:t>
      </w:r>
      <w:proofErr w:type="gramEnd"/>
      <w:r w:rsidRPr="00956D2C">
        <w:rPr>
          <w:b/>
        </w:rPr>
        <w:t xml:space="preserve"> and rationale for developing SESA</w:t>
      </w:r>
    </w:p>
    <w:p w:rsidR="00254AAB" w:rsidRDefault="00956D2C">
      <w:pPr>
        <w:rPr>
          <w:color w:val="000000"/>
        </w:rPr>
      </w:pPr>
      <w:r>
        <w:rPr>
          <w:color w:val="000000"/>
        </w:rPr>
        <w:t xml:space="preserve">In particular explain the steps </w:t>
      </w:r>
      <w:r w:rsidR="002D45AF">
        <w:rPr>
          <w:color w:val="000000"/>
        </w:rPr>
        <w:t>taken</w:t>
      </w:r>
      <w:r w:rsidR="00120715">
        <w:rPr>
          <w:color w:val="000000"/>
        </w:rPr>
        <w:t xml:space="preserve"> </w:t>
      </w:r>
      <w:r w:rsidR="002D45AF">
        <w:rPr>
          <w:color w:val="000000"/>
        </w:rPr>
        <w:t xml:space="preserve">to </w:t>
      </w:r>
      <w:proofErr w:type="gramStart"/>
      <w:r w:rsidR="002D45AF">
        <w:rPr>
          <w:color w:val="000000"/>
        </w:rPr>
        <w:t xml:space="preserve">derive </w:t>
      </w:r>
      <w:r w:rsidR="00120715">
        <w:rPr>
          <w:color w:val="000000"/>
        </w:rPr>
        <w:t xml:space="preserve"> the</w:t>
      </w:r>
      <w:proofErr w:type="gramEnd"/>
      <w:r w:rsidR="00120715">
        <w:rPr>
          <w:color w:val="000000"/>
        </w:rPr>
        <w:t xml:space="preserve"> different components of SESA such as the service category taxonomy.</w:t>
      </w:r>
      <w:r>
        <w:rPr>
          <w:color w:val="000000"/>
        </w:rPr>
        <w:t xml:space="preserve"> </w:t>
      </w:r>
    </w:p>
    <w:p w:rsidR="00956D2C" w:rsidRDefault="00956D2C">
      <w:pPr>
        <w:rPr>
          <w:color w:val="000000"/>
        </w:rPr>
      </w:pPr>
      <w:r>
        <w:rPr>
          <w:color w:val="000000"/>
        </w:rPr>
        <w:t xml:space="preserve">Describe what ontologies have been developed </w:t>
      </w:r>
      <w:proofErr w:type="spellStart"/>
      <w:r>
        <w:rPr>
          <w:color w:val="000000"/>
        </w:rPr>
        <w:t>eg</w:t>
      </w:r>
      <w:proofErr w:type="spellEnd"/>
      <w:r>
        <w:rPr>
          <w:color w:val="000000"/>
        </w:rPr>
        <w:t xml:space="preserve"> which FAL forms</w:t>
      </w:r>
      <w:r w:rsidR="002D45AF">
        <w:rPr>
          <w:color w:val="000000"/>
        </w:rPr>
        <w:t xml:space="preserve"> have so far been codified</w:t>
      </w:r>
      <w:r w:rsidR="00120715">
        <w:rPr>
          <w:color w:val="000000"/>
        </w:rPr>
        <w:t>?</w:t>
      </w:r>
    </w:p>
    <w:p w:rsidR="00120715" w:rsidRDefault="00120715">
      <w:pPr>
        <w:rPr>
          <w:color w:val="000000"/>
        </w:rPr>
      </w:pPr>
      <w:r>
        <w:rPr>
          <w:color w:val="000000"/>
        </w:rPr>
        <w:t xml:space="preserve">How </w:t>
      </w:r>
      <w:proofErr w:type="gramStart"/>
      <w:r>
        <w:rPr>
          <w:color w:val="000000"/>
        </w:rPr>
        <w:t>was the service taxonomy of Figure 5</w:t>
      </w:r>
      <w:proofErr w:type="gramEnd"/>
      <w:r>
        <w:rPr>
          <w:color w:val="000000"/>
        </w:rPr>
        <w:t xml:space="preserve"> was developed? As explained this</w:t>
      </w:r>
      <w:r w:rsidR="002D45AF">
        <w:rPr>
          <w:color w:val="000000"/>
        </w:rPr>
        <w:t xml:space="preserve"> taxonomy is not complete, however </w:t>
      </w:r>
      <w:r>
        <w:rPr>
          <w:color w:val="000000"/>
        </w:rPr>
        <w:t xml:space="preserve">an agreed </w:t>
      </w:r>
      <w:proofErr w:type="gramStart"/>
      <w:r>
        <w:rPr>
          <w:color w:val="000000"/>
        </w:rPr>
        <w:t>taxonomy  of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efreight</w:t>
      </w:r>
      <w:proofErr w:type="spellEnd"/>
      <w:r>
        <w:rPr>
          <w:color w:val="000000"/>
        </w:rPr>
        <w:t xml:space="preserve"> services is essential  for the feasibility of the SESA approach. </w:t>
      </w:r>
      <w:proofErr w:type="gramStart"/>
      <w:r>
        <w:rPr>
          <w:color w:val="000000"/>
        </w:rPr>
        <w:t>In  other</w:t>
      </w:r>
      <w:proofErr w:type="gramEnd"/>
      <w:r>
        <w:rPr>
          <w:color w:val="000000"/>
        </w:rPr>
        <w:t xml:space="preserve"> words,  the users of the service need to understand the SESA service taxonomy in order to successfully search the repository for services</w:t>
      </w:r>
    </w:p>
    <w:p w:rsidR="00A169A5" w:rsidRPr="00A169A5" w:rsidRDefault="000074BA">
      <w:pPr>
        <w:rPr>
          <w:i/>
          <w:color w:val="FF0000"/>
        </w:rPr>
      </w:pPr>
      <w:r>
        <w:rPr>
          <w:i/>
          <w:color w:val="FF0000"/>
        </w:rPr>
        <w:t>Response: t</w:t>
      </w:r>
      <w:r w:rsidR="00A169A5">
        <w:rPr>
          <w:i/>
          <w:color w:val="FF0000"/>
        </w:rPr>
        <w:t>he domain ontologies/taxonomies are not part of the SESA platform, and are just</w:t>
      </w:r>
      <w:r w:rsidR="00E068D7">
        <w:rPr>
          <w:i/>
          <w:color w:val="FF0000"/>
        </w:rPr>
        <w:t xml:space="preserve"> part of the</w:t>
      </w:r>
      <w:r w:rsidR="00A169A5">
        <w:rPr>
          <w:i/>
          <w:color w:val="FF0000"/>
        </w:rPr>
        <w:t xml:space="preserve"> </w:t>
      </w:r>
      <w:r w:rsidR="00E068D7">
        <w:rPr>
          <w:i/>
          <w:color w:val="FF0000"/>
        </w:rPr>
        <w:t xml:space="preserve">domain </w:t>
      </w:r>
      <w:r w:rsidR="00A169A5">
        <w:rPr>
          <w:i/>
          <w:color w:val="FF0000"/>
        </w:rPr>
        <w:t>knowledge</w:t>
      </w:r>
      <w:r w:rsidR="00E068D7">
        <w:rPr>
          <w:i/>
          <w:color w:val="FF0000"/>
        </w:rPr>
        <w:t xml:space="preserve"> stored there</w:t>
      </w:r>
      <w:r w:rsidR="00A169A5">
        <w:rPr>
          <w:i/>
          <w:color w:val="FF0000"/>
        </w:rPr>
        <w:t>. Their development is not part of this task/deliverable (</w:t>
      </w:r>
      <w:r>
        <w:rPr>
          <w:i/>
          <w:color w:val="FF0000"/>
        </w:rPr>
        <w:t>they are part of T2.3/D2.3), and they are used here in order to show an example application</w:t>
      </w:r>
      <w:r w:rsidR="0075017F">
        <w:rPr>
          <w:i/>
          <w:color w:val="FF0000"/>
        </w:rPr>
        <w:t xml:space="preserve"> of the platform capabilities</w:t>
      </w:r>
      <w:r>
        <w:rPr>
          <w:i/>
          <w:color w:val="FF0000"/>
        </w:rPr>
        <w:t>.</w:t>
      </w:r>
    </w:p>
    <w:p w:rsidR="004D3BE6" w:rsidRDefault="004D3BE6">
      <w:pPr>
        <w:rPr>
          <w:b/>
          <w:color w:val="000000"/>
        </w:rPr>
      </w:pPr>
      <w:r w:rsidRPr="004D3BE6">
        <w:rPr>
          <w:b/>
          <w:color w:val="000000"/>
        </w:rPr>
        <w:t>Survey of Related Approaches</w:t>
      </w:r>
      <w:r w:rsidR="006A0B97">
        <w:rPr>
          <w:b/>
          <w:color w:val="000000"/>
        </w:rPr>
        <w:t xml:space="preserve"> in ontologies and semantic web services</w:t>
      </w:r>
      <w:r w:rsidR="0012773F">
        <w:rPr>
          <w:b/>
          <w:color w:val="000000"/>
        </w:rPr>
        <w:t xml:space="preserve"> for </w:t>
      </w:r>
      <w:proofErr w:type="spellStart"/>
      <w:r w:rsidR="0012773F">
        <w:rPr>
          <w:b/>
          <w:color w:val="000000"/>
        </w:rPr>
        <w:t>efreight</w:t>
      </w:r>
      <w:proofErr w:type="spellEnd"/>
    </w:p>
    <w:p w:rsidR="00AA1041" w:rsidRPr="00AA1041" w:rsidRDefault="00AA1041">
      <w:pPr>
        <w:rPr>
          <w:color w:val="000000"/>
        </w:rPr>
      </w:pPr>
      <w:r>
        <w:rPr>
          <w:color w:val="000000"/>
        </w:rPr>
        <w:lastRenderedPageBreak/>
        <w:t>Is SESA the only ever approach that proposes ontologie</w:t>
      </w:r>
      <w:r w:rsidR="002D45AF">
        <w:rPr>
          <w:color w:val="000000"/>
        </w:rPr>
        <w:t>s and logistics services for e-f</w:t>
      </w:r>
      <w:r>
        <w:rPr>
          <w:color w:val="000000"/>
        </w:rPr>
        <w:t>reight</w:t>
      </w:r>
      <w:r w:rsidR="00956D2C">
        <w:rPr>
          <w:color w:val="000000"/>
        </w:rPr>
        <w:t xml:space="preserve">? If not, what are </w:t>
      </w:r>
      <w:r w:rsidR="002D45AF">
        <w:rPr>
          <w:color w:val="000000"/>
        </w:rPr>
        <w:t>its</w:t>
      </w:r>
      <w:r w:rsidR="00956D2C">
        <w:rPr>
          <w:color w:val="000000"/>
        </w:rPr>
        <w:t xml:space="preserve"> advantages over other similar approaches?</w:t>
      </w:r>
    </w:p>
    <w:p w:rsidR="00254AAB" w:rsidRDefault="00254AAB">
      <w:pPr>
        <w:rPr>
          <w:color w:val="000000"/>
        </w:rPr>
      </w:pPr>
      <w:r>
        <w:rPr>
          <w:color w:val="000000"/>
        </w:rPr>
        <w:t xml:space="preserve">Refer to existing work </w:t>
      </w:r>
      <w:proofErr w:type="gramStart"/>
      <w:r>
        <w:rPr>
          <w:color w:val="000000"/>
        </w:rPr>
        <w:t>in  ontologies</w:t>
      </w:r>
      <w:proofErr w:type="gramEnd"/>
      <w:r>
        <w:rPr>
          <w:color w:val="000000"/>
        </w:rPr>
        <w:t xml:space="preserve"> and semantic services for logistics. For example</w:t>
      </w:r>
    </w:p>
    <w:p w:rsidR="00254AAB" w:rsidRDefault="00254AAB" w:rsidP="00254AAB">
      <w:r w:rsidRPr="00254AAB">
        <w:rPr>
          <w:i/>
        </w:rPr>
        <w:t>An Approach to Formal and Semantic Representation of Logistics Services</w:t>
      </w:r>
      <w:r>
        <w:t xml:space="preserve"> by Julia </w:t>
      </w:r>
      <w:proofErr w:type="spellStart"/>
      <w:proofErr w:type="gramStart"/>
      <w:r>
        <w:t>Hoxha</w:t>
      </w:r>
      <w:proofErr w:type="spellEnd"/>
      <w:r>
        <w:t xml:space="preserve">  Andreas</w:t>
      </w:r>
      <w:proofErr w:type="gramEnd"/>
      <w:r>
        <w:t xml:space="preserve"> </w:t>
      </w:r>
      <w:proofErr w:type="spellStart"/>
      <w:r>
        <w:t>Scheuermann</w:t>
      </w:r>
      <w:proofErr w:type="spellEnd"/>
      <w:r>
        <w:t xml:space="preserve">  and Stephan </w:t>
      </w:r>
      <w:proofErr w:type="spellStart"/>
      <w:r>
        <w:t>Bloehdorn</w:t>
      </w:r>
      <w:proofErr w:type="spellEnd"/>
      <w:r>
        <w:t xml:space="preserve"> </w:t>
      </w:r>
    </w:p>
    <w:p w:rsidR="00254AAB" w:rsidRDefault="00254AAB" w:rsidP="00254AAB">
      <w:r>
        <w:t>And</w:t>
      </w:r>
    </w:p>
    <w:p w:rsidR="00254AAB" w:rsidRDefault="004D3BE6" w:rsidP="004D3BE6">
      <w:r w:rsidRPr="004D3BE6">
        <w:rPr>
          <w:i/>
        </w:rPr>
        <w:t>A Supply Chain Management Approach to Logistics On</w:t>
      </w:r>
      <w:r>
        <w:rPr>
          <w:i/>
        </w:rPr>
        <w:t xml:space="preserve">tologies in Information Systems by </w:t>
      </w:r>
      <w:proofErr w:type="spellStart"/>
      <w:r>
        <w:t>Joerg</w:t>
      </w:r>
      <w:proofErr w:type="spellEnd"/>
      <w:r>
        <w:t xml:space="preserve"> </w:t>
      </w:r>
      <w:proofErr w:type="spellStart"/>
      <w:r>
        <w:t>Leukel</w:t>
      </w:r>
      <w:proofErr w:type="spellEnd"/>
      <w:r>
        <w:t xml:space="preserve"> and Stefan </w:t>
      </w:r>
      <w:proofErr w:type="spellStart"/>
      <w:r>
        <w:t>Kirn</w:t>
      </w:r>
      <w:proofErr w:type="spellEnd"/>
    </w:p>
    <w:p w:rsidR="004D3BE6" w:rsidRDefault="004D3BE6" w:rsidP="004D3BE6">
      <w:r>
        <w:t>(</w:t>
      </w:r>
      <w:proofErr w:type="gramStart"/>
      <w:r>
        <w:t>both</w:t>
      </w:r>
      <w:proofErr w:type="gramEnd"/>
      <w:r>
        <w:t xml:space="preserve"> available online)</w:t>
      </w:r>
    </w:p>
    <w:p w:rsidR="000074BA" w:rsidRPr="000074BA" w:rsidRDefault="000074BA" w:rsidP="004D3BE6">
      <w:pPr>
        <w:rPr>
          <w:i/>
          <w:color w:val="FF0000"/>
        </w:rPr>
      </w:pPr>
      <w:r>
        <w:rPr>
          <w:i/>
          <w:color w:val="FF0000"/>
        </w:rPr>
        <w:t xml:space="preserve">Response: </w:t>
      </w:r>
      <w:r w:rsidR="0075017F">
        <w:rPr>
          <w:i/>
          <w:color w:val="FF0000"/>
        </w:rPr>
        <w:t xml:space="preserve">the mentioned papers propose ontologies for logistics, whereas </w:t>
      </w:r>
      <w:r>
        <w:rPr>
          <w:i/>
          <w:color w:val="FF0000"/>
        </w:rPr>
        <w:t>the e-Freight SESA</w:t>
      </w:r>
      <w:r w:rsidR="0075017F">
        <w:rPr>
          <w:i/>
          <w:color w:val="FF0000"/>
        </w:rPr>
        <w:t xml:space="preserve"> platform</w:t>
      </w:r>
      <w:r>
        <w:rPr>
          <w:i/>
          <w:color w:val="FF0000"/>
        </w:rPr>
        <w:t xml:space="preserve"> is an implementation of a lightweight execution environment for semantic Web services.</w:t>
      </w:r>
      <w:r w:rsidR="0075017F">
        <w:rPr>
          <w:i/>
          <w:color w:val="FF0000"/>
        </w:rPr>
        <w:t xml:space="preserve"> The e-Freight SESA platform </w:t>
      </w:r>
      <w:r w:rsidR="007A4A67">
        <w:rPr>
          <w:i/>
          <w:color w:val="FF0000"/>
        </w:rPr>
        <w:t>use</w:t>
      </w:r>
      <w:r w:rsidR="0075017F">
        <w:rPr>
          <w:i/>
          <w:color w:val="FF0000"/>
        </w:rPr>
        <w:t>s</w:t>
      </w:r>
      <w:r w:rsidR="007A4A67">
        <w:rPr>
          <w:i/>
          <w:color w:val="FF0000"/>
        </w:rPr>
        <w:t xml:space="preserve"> semantically annotated Web service descriptions </w:t>
      </w:r>
      <w:r w:rsidR="0075017F">
        <w:rPr>
          <w:i/>
          <w:color w:val="FF0000"/>
        </w:rPr>
        <w:t>to discover and invoke services;</w:t>
      </w:r>
      <w:r w:rsidR="007A4A67">
        <w:rPr>
          <w:i/>
          <w:color w:val="FF0000"/>
        </w:rPr>
        <w:t xml:space="preserve"> </w:t>
      </w:r>
      <w:r w:rsidR="0075017F">
        <w:rPr>
          <w:i/>
          <w:color w:val="FF0000"/>
        </w:rPr>
        <w:t xml:space="preserve">it is </w:t>
      </w:r>
      <w:r w:rsidR="007A4A67">
        <w:rPr>
          <w:i/>
          <w:color w:val="FF0000"/>
        </w:rPr>
        <w:t>not about how to model the domain of logistics</w:t>
      </w:r>
      <w:r w:rsidR="0075017F">
        <w:rPr>
          <w:i/>
          <w:color w:val="FF0000"/>
        </w:rPr>
        <w:t>, and it doesn’t propose any ontology to model the domain</w:t>
      </w:r>
      <w:r w:rsidR="007A4A67">
        <w:rPr>
          <w:i/>
          <w:color w:val="FF0000"/>
        </w:rPr>
        <w:t xml:space="preserve">. It uses ontologies (developed in another task of the project) but it is generic with respect to them. So, modelling the domain, </w:t>
      </w:r>
      <w:r w:rsidR="007A4A13">
        <w:rPr>
          <w:i/>
          <w:color w:val="FF0000"/>
        </w:rPr>
        <w:t>which is what the</w:t>
      </w:r>
      <w:r w:rsidR="007A4A67">
        <w:rPr>
          <w:i/>
          <w:color w:val="FF0000"/>
        </w:rPr>
        <w:t xml:space="preserve"> publications mentioned above do</w:t>
      </w:r>
      <w:r w:rsidR="0075017F">
        <w:rPr>
          <w:i/>
          <w:color w:val="FF0000"/>
        </w:rPr>
        <w:t xml:space="preserve"> (and in that sense they are relevant for task T2.3)</w:t>
      </w:r>
      <w:r w:rsidR="007A4A67">
        <w:rPr>
          <w:i/>
          <w:color w:val="FF0000"/>
        </w:rPr>
        <w:t>, is not part of this work</w:t>
      </w:r>
      <w:r w:rsidR="007A4A13">
        <w:rPr>
          <w:i/>
          <w:color w:val="FF0000"/>
        </w:rPr>
        <w:t>.</w:t>
      </w:r>
    </w:p>
    <w:p w:rsidR="006A0B97" w:rsidRPr="006A0B97" w:rsidRDefault="006A0B97" w:rsidP="006A0B97">
      <w:pPr>
        <w:rPr>
          <w:b/>
        </w:rPr>
      </w:pPr>
      <w:r w:rsidRPr="006A0B97">
        <w:rPr>
          <w:b/>
        </w:rPr>
        <w:t xml:space="preserve">Business Benefits of the </w:t>
      </w:r>
      <w:proofErr w:type="gramStart"/>
      <w:r w:rsidRPr="006A0B97">
        <w:rPr>
          <w:b/>
        </w:rPr>
        <w:t xml:space="preserve">proposed </w:t>
      </w:r>
      <w:r w:rsidR="00245E5F">
        <w:rPr>
          <w:b/>
        </w:rPr>
        <w:t xml:space="preserve"> SESA</w:t>
      </w:r>
      <w:proofErr w:type="gramEnd"/>
      <w:r w:rsidR="00245E5F">
        <w:rPr>
          <w:b/>
        </w:rPr>
        <w:t xml:space="preserve"> </w:t>
      </w:r>
      <w:r w:rsidRPr="006A0B97">
        <w:rPr>
          <w:b/>
        </w:rPr>
        <w:t>approach</w:t>
      </w:r>
    </w:p>
    <w:p w:rsidR="006A0B97" w:rsidRDefault="006A0B97" w:rsidP="006A0B97">
      <w:r>
        <w:t xml:space="preserve">Explain how the SESA approach </w:t>
      </w:r>
      <w:proofErr w:type="gramStart"/>
      <w:r>
        <w:t>will  enable</w:t>
      </w:r>
      <w:proofErr w:type="gramEnd"/>
      <w:r>
        <w:t xml:space="preserve"> t</w:t>
      </w:r>
      <w:r w:rsidRPr="004938C2">
        <w:t>ransport users (shippers, freight forwarders, etc) to identify and use direct</w:t>
      </w:r>
      <w:r w:rsidR="002D45AF">
        <w:t xml:space="preserve"> or combined transport services. Can it be used for example to </w:t>
      </w:r>
      <w:proofErr w:type="gramStart"/>
      <w:r w:rsidR="002D45AF">
        <w:t xml:space="preserve">compose </w:t>
      </w:r>
      <w:r w:rsidR="0012773F">
        <w:t xml:space="preserve"> complex</w:t>
      </w:r>
      <w:proofErr w:type="gramEnd"/>
      <w:r w:rsidR="0012773F">
        <w:t xml:space="preserve"> </w:t>
      </w:r>
      <w:r w:rsidR="002D45AF">
        <w:t xml:space="preserve">transport services from published ‘atomic’ services?  Give some example in SPARQL or pseudo code of how someone can query the </w:t>
      </w:r>
      <w:proofErr w:type="gramStart"/>
      <w:r w:rsidR="002D45AF">
        <w:t>repository  to</w:t>
      </w:r>
      <w:proofErr w:type="gramEnd"/>
      <w:r w:rsidR="002D45AF">
        <w:t xml:space="preserve"> find a service that fulfils certain criteria and explain why this is better than using alternative search approaches.</w:t>
      </w:r>
    </w:p>
    <w:p w:rsidR="00196DAF" w:rsidRPr="00196DAF" w:rsidRDefault="00196DAF" w:rsidP="006A0B97">
      <w:pPr>
        <w:rPr>
          <w:i/>
          <w:color w:val="FF0000"/>
        </w:rPr>
      </w:pPr>
      <w:r w:rsidRPr="00196DAF">
        <w:rPr>
          <w:i/>
          <w:color w:val="FF0000"/>
        </w:rPr>
        <w:t>Response:</w:t>
      </w:r>
      <w:r>
        <w:rPr>
          <w:i/>
          <w:color w:val="FF0000"/>
        </w:rPr>
        <w:t xml:space="preserve"> as agreed in WP2, this first implementation is </w:t>
      </w:r>
      <w:r w:rsidR="0075017F">
        <w:rPr>
          <w:i/>
          <w:color w:val="FF0000"/>
        </w:rPr>
        <w:t>targeted at</w:t>
      </w:r>
      <w:r>
        <w:rPr>
          <w:i/>
          <w:color w:val="FF0000"/>
        </w:rPr>
        <w:t xml:space="preserve"> the single window case and demonstrator, and the above examples do not hold for it. We can add a section explaining the role and functionalities of the SESA platform in the context of the single window.</w:t>
      </w:r>
    </w:p>
    <w:p w:rsidR="00120715" w:rsidRDefault="002D45AF" w:rsidP="006A0B97">
      <w:pPr>
        <w:rPr>
          <w:color w:val="000000"/>
        </w:rPr>
      </w:pPr>
      <w:r>
        <w:rPr>
          <w:color w:val="000000"/>
        </w:rPr>
        <w:t>Also, w</w:t>
      </w:r>
      <w:r w:rsidR="00120715">
        <w:rPr>
          <w:color w:val="000000"/>
        </w:rPr>
        <w:t>hat are the steps and tools that a service provider needs to follow to ‘semantically enable’ its services?</w:t>
      </w:r>
    </w:p>
    <w:p w:rsidR="004D3BE6" w:rsidRPr="00196DAF" w:rsidRDefault="00196DAF" w:rsidP="004D3BE6">
      <w:pPr>
        <w:rPr>
          <w:i/>
          <w:color w:val="FF0000"/>
        </w:rPr>
      </w:pPr>
      <w:r w:rsidRPr="00196DAF">
        <w:rPr>
          <w:i/>
          <w:color w:val="FF0000"/>
        </w:rPr>
        <w:t>Response: we can better explain it.</w:t>
      </w:r>
    </w:p>
    <w:p w:rsidR="00956D2C" w:rsidRPr="00120715" w:rsidRDefault="004D3BE6" w:rsidP="004D3BE6">
      <w:pPr>
        <w:rPr>
          <w:b/>
          <w:i/>
        </w:rPr>
      </w:pPr>
      <w:r w:rsidRPr="004D3BE6">
        <w:rPr>
          <w:b/>
          <w:i/>
        </w:rPr>
        <w:t>Better explanation and clarification of the used examples</w:t>
      </w:r>
      <w:r w:rsidR="00245E5F">
        <w:rPr>
          <w:b/>
          <w:i/>
        </w:rPr>
        <w:t xml:space="preserve"> and code listings</w:t>
      </w:r>
    </w:p>
    <w:p w:rsidR="00120715" w:rsidRDefault="00120715" w:rsidP="004D3BE6">
      <w:r>
        <w:t xml:space="preserve">We cannot assume that the readers of this deliverable are </w:t>
      </w:r>
      <w:r w:rsidR="00245E5F">
        <w:t>fluent</w:t>
      </w:r>
      <w:r>
        <w:t xml:space="preserve"> in XML, </w:t>
      </w:r>
      <w:r w:rsidR="00245E5F">
        <w:t xml:space="preserve">RDF, </w:t>
      </w:r>
      <w:proofErr w:type="gramStart"/>
      <w:r w:rsidR="00245E5F">
        <w:t>SAWSDL</w:t>
      </w:r>
      <w:proofErr w:type="gramEnd"/>
      <w:r w:rsidR="00245E5F">
        <w:t xml:space="preserve"> etc. Thus we need </w:t>
      </w:r>
      <w:bookmarkStart w:id="0" w:name="_GoBack"/>
      <w:bookmarkEnd w:id="0"/>
      <w:r>
        <w:t>some brief explanations for the provided listings.</w:t>
      </w:r>
    </w:p>
    <w:p w:rsidR="004D3BE6" w:rsidRPr="00956D2C" w:rsidRDefault="00956D2C" w:rsidP="004D3BE6">
      <w:r w:rsidRPr="00956D2C">
        <w:t>For example</w:t>
      </w:r>
      <w:r w:rsidR="002D45AF">
        <w:t>,</w:t>
      </w:r>
      <w:r w:rsidRPr="00956D2C">
        <w:t xml:space="preserve"> explain </w:t>
      </w:r>
      <w:proofErr w:type="gramStart"/>
      <w:r w:rsidR="002D45AF">
        <w:t>how</w:t>
      </w:r>
      <w:r w:rsidRPr="00956D2C">
        <w:t xml:space="preserve">  listing</w:t>
      </w:r>
      <w:proofErr w:type="gramEnd"/>
      <w:r w:rsidRPr="00956D2C">
        <w:t xml:space="preserve"> 10 describes a port with code ESVLC according to an ontology schema for FAL1 forms</w:t>
      </w:r>
    </w:p>
    <w:p w:rsidR="00254AAB" w:rsidRPr="0075017F" w:rsidRDefault="00196DAF" w:rsidP="00254AAB">
      <w:pPr>
        <w:rPr>
          <w:i/>
          <w:color w:val="FF0000"/>
        </w:rPr>
      </w:pPr>
      <w:r w:rsidRPr="00196DAF">
        <w:rPr>
          <w:i/>
          <w:color w:val="FF0000"/>
        </w:rPr>
        <w:t xml:space="preserve">Response: we </w:t>
      </w:r>
      <w:r>
        <w:rPr>
          <w:i/>
          <w:color w:val="FF0000"/>
        </w:rPr>
        <w:t>can do</w:t>
      </w:r>
      <w:r w:rsidRPr="00196DAF">
        <w:rPr>
          <w:i/>
          <w:color w:val="FF0000"/>
        </w:rPr>
        <w:t xml:space="preserve"> it.</w:t>
      </w:r>
    </w:p>
    <w:sectPr w:rsidR="00254AAB" w:rsidRPr="0075017F" w:rsidSect="00740E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A4A13" w:rsidRDefault="007A4A13" w:rsidP="00254AAB">
      <w:pPr>
        <w:spacing w:after="0" w:line="240" w:lineRule="auto"/>
      </w:pPr>
      <w:r>
        <w:separator/>
      </w:r>
    </w:p>
  </w:endnote>
  <w:endnote w:type="continuationSeparator" w:id="0">
    <w:p w:rsidR="007A4A13" w:rsidRDefault="007A4A13" w:rsidP="00254A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A4A13" w:rsidRDefault="007A4A13" w:rsidP="00254AAB">
      <w:pPr>
        <w:spacing w:after="0" w:line="240" w:lineRule="auto"/>
      </w:pPr>
      <w:r>
        <w:separator/>
      </w:r>
    </w:p>
  </w:footnote>
  <w:footnote w:type="continuationSeparator" w:id="0">
    <w:p w:rsidR="007A4A13" w:rsidRDefault="007A4A13" w:rsidP="00254A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54AAB"/>
    <w:rsid w:val="000074BA"/>
    <w:rsid w:val="000F6041"/>
    <w:rsid w:val="00120715"/>
    <w:rsid w:val="0012773F"/>
    <w:rsid w:val="001544D8"/>
    <w:rsid w:val="00196DAF"/>
    <w:rsid w:val="00245E5F"/>
    <w:rsid w:val="00254AAB"/>
    <w:rsid w:val="002963C7"/>
    <w:rsid w:val="002D45AF"/>
    <w:rsid w:val="00450070"/>
    <w:rsid w:val="004D3BE6"/>
    <w:rsid w:val="005E5AE5"/>
    <w:rsid w:val="006A0B97"/>
    <w:rsid w:val="00740E2C"/>
    <w:rsid w:val="0075017F"/>
    <w:rsid w:val="007A4A13"/>
    <w:rsid w:val="007A4A67"/>
    <w:rsid w:val="00956D2C"/>
    <w:rsid w:val="00A169A5"/>
    <w:rsid w:val="00AA1041"/>
    <w:rsid w:val="00DD7CBF"/>
    <w:rsid w:val="00E068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0E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aliases w:val="Footnote symbol,Footnote symboFußnotenzeichen,Footnote sign,Times 10 Point,Exposant 3 Point,Footnote Reference/"/>
    <w:basedOn w:val="DefaultParagraphFont"/>
    <w:uiPriority w:val="99"/>
    <w:rsid w:val="00254AAB"/>
    <w:rPr>
      <w:rFonts w:ascii="Times New Roman" w:hAnsi="Times New Roman"/>
      <w:spacing w:val="0"/>
      <w:sz w:val="20"/>
      <w:vertAlign w:val="superscript"/>
    </w:rPr>
  </w:style>
  <w:style w:type="paragraph" w:styleId="FootnoteText">
    <w:name w:val="footnote text"/>
    <w:aliases w:val="Footnote text,Schriftart: 9 pt,Schriftart: 10 pt,Schriftart: 8 pt,WB-Fußnotentext,fn,Footnotes,Footnote ak,Footnote Text Char1,Footnote Text Char Char,Footnote Text Char1 Char Char,Footnote Text Char Char Char Char,Footnote Text Char Char1"/>
    <w:basedOn w:val="Normal"/>
    <w:link w:val="FootnoteTextChar"/>
    <w:uiPriority w:val="99"/>
    <w:semiHidden/>
    <w:rsid w:val="00254AAB"/>
    <w:pPr>
      <w:spacing w:after="0" w:line="320" w:lineRule="exact"/>
    </w:pPr>
    <w:rPr>
      <w:rFonts w:ascii="Arial" w:eastAsia="Times New Roman" w:hAnsi="Arial" w:cs="Times New Roman"/>
      <w:sz w:val="20"/>
      <w:szCs w:val="20"/>
    </w:rPr>
  </w:style>
  <w:style w:type="character" w:customStyle="1" w:styleId="FootnoteTextChar">
    <w:name w:val="Footnote Text Char"/>
    <w:aliases w:val="Footnote text Char,Schriftart: 9 pt Char,Schriftart: 10 pt Char,Schriftart: 8 pt Char,WB-Fußnotentext Char,fn Char,Footnotes Char,Footnote ak Char,Footnote Text Char1 Char,Footnote Text Char Char Char,Footnote Text Char Char1 Char"/>
    <w:basedOn w:val="DefaultParagraphFont"/>
    <w:link w:val="FootnoteText"/>
    <w:uiPriority w:val="99"/>
    <w:semiHidden/>
    <w:rsid w:val="00254AAB"/>
    <w:rPr>
      <w:rFonts w:ascii="Arial" w:eastAsia="Times New Roman" w:hAnsi="Arial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aliases w:val="Footnote symbol,Footnote symboFußnotenzeichen,Footnote sign,Times 10 Point,Exposant 3 Point,Footnote Reference/"/>
    <w:basedOn w:val="DefaultParagraphFont"/>
    <w:uiPriority w:val="99"/>
    <w:rsid w:val="00254AAB"/>
    <w:rPr>
      <w:rFonts w:ascii="Times New Roman" w:hAnsi="Times New Roman"/>
      <w:spacing w:val="0"/>
      <w:sz w:val="20"/>
      <w:vertAlign w:val="superscript"/>
    </w:rPr>
  </w:style>
  <w:style w:type="paragraph" w:styleId="FootnoteText">
    <w:name w:val="footnote text"/>
    <w:aliases w:val="Footnote text,Schriftart: 9 pt,Schriftart: 10 pt,Schriftart: 8 pt,WB-Fußnotentext,fn,Footnotes,Footnote ak,Footnote Text Char1,Footnote Text Char Char,Footnote Text Char1 Char Char,Footnote Text Char Char Char Char,Footnote Text Char Char1"/>
    <w:basedOn w:val="Normal"/>
    <w:link w:val="FootnoteTextChar"/>
    <w:uiPriority w:val="99"/>
    <w:semiHidden/>
    <w:rsid w:val="00254AAB"/>
    <w:pPr>
      <w:spacing w:after="0" w:line="320" w:lineRule="exact"/>
    </w:pPr>
    <w:rPr>
      <w:rFonts w:ascii="Arial" w:eastAsia="Times New Roman" w:hAnsi="Arial" w:cs="Times New Roman"/>
      <w:sz w:val="20"/>
      <w:szCs w:val="20"/>
    </w:rPr>
  </w:style>
  <w:style w:type="character" w:customStyle="1" w:styleId="FootnoteTextChar">
    <w:name w:val="Footnote Text Char"/>
    <w:aliases w:val="Footnote text Char,Schriftart: 9 pt Char,Schriftart: 10 pt Char,Schriftart: 8 pt Char,WB-Fußnotentext Char,fn Char,Footnotes Char,Footnote ak Char,Footnote Text Char1 Char,Footnote Text Char Char Char,Footnote Text Char Char1 Char"/>
    <w:basedOn w:val="DefaultParagraphFont"/>
    <w:link w:val="FootnoteText"/>
    <w:uiPriority w:val="99"/>
    <w:semiHidden/>
    <w:rsid w:val="00254AAB"/>
    <w:rPr>
      <w:rFonts w:ascii="Arial" w:eastAsia="Times New Roman" w:hAnsi="Arial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2</Pages>
  <Words>640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bill</dc:creator>
  <cp:lastModifiedBy>Davide Cerri</cp:lastModifiedBy>
  <cp:revision>7</cp:revision>
  <dcterms:created xsi:type="dcterms:W3CDTF">2011-07-31T21:12:00Z</dcterms:created>
  <dcterms:modified xsi:type="dcterms:W3CDTF">2011-08-02T12:20:00Z</dcterms:modified>
</cp:coreProperties>
</file>