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peedtruth-path-to-ministry-adoption"/>
    <w:p>
      <w:pPr>
        <w:pStyle w:val="Heading1"/>
      </w:pPr>
      <w:r>
        <w:t xml:space="preserve">SpeedTruth, Path to Ministry Adoption</w:t>
      </w:r>
    </w:p>
    <w:p>
      <w:pPr>
        <w:pStyle w:val="FirstParagraph"/>
      </w:pPr>
      <w:r>
        <w:rPr>
          <w:i/>
          <w:iCs/>
        </w:rPr>
        <w:t xml:space="preserve">An honest map of what stands between this submission and a transport ministry using it in practice. We state the gaps openly rather than imply the tool is deployment-ready.</w:t>
      </w:r>
    </w:p>
    <w:p>
      <w:pPr>
        <w:pStyle w:val="BodyText"/>
      </w:pPr>
      <w:r>
        <w:rPr>
          <w:b/>
          <w:bCs/>
        </w:rPr>
        <w:t xml:space="preserve">Where it is today:</w:t>
      </w:r>
      <w:r>
        <w:t xml:space="preserve"> </w:t>
      </w:r>
      <w:r>
        <w:t xml:space="preserve">a validated, reproducible, FDUA-compliant analytical pipeline that turns standard probe + open data into a per-segment Speed Safety Score, an interactive decision map, a costed work-list, and an automated imagery-based road-condition check. It is a decision-support prototype,</w:t>
      </w:r>
      <w:r>
        <w:t xml:space="preserve"> </w:t>
      </w:r>
      <w:r>
        <w:rPr>
          <w:b/>
          <w:bCs/>
        </w:rPr>
        <w:t xml:space="preserve">not yet an operational system</w:t>
      </w:r>
      <w:r>
        <w:t xml:space="preserve">.</w:t>
      </w:r>
    </w:p>
    <w:bookmarkStart w:id="9" w:name="Xc0f7bd8b8a87dec393fbe92ffee4a327cc88f66"/>
    <w:p>
      <w:pPr>
        <w:pStyle w:val="Heading2"/>
      </w:pPr>
      <w:r>
        <w:t xml:space="preserve">What a ministry needs before it can rely on this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Missing piece</w:t>
            </w:r>
          </w:p>
        </w:tc>
        <w:tc>
          <w:tcPr/>
          <w:p>
            <w:pPr>
              <w:pStyle w:val="Compact"/>
            </w:pPr>
            <w:r>
              <w:t xml:space="preserve">Why it’s needed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Posted-limit ground truth</w:t>
            </w:r>
            <w:r>
              <w:t xml:space="preserve">, field-audit a stratified sample to calibrate the unvalidated limit field</w:t>
            </w:r>
          </w:p>
        </w:tc>
        <w:tc>
          <w:tcPr/>
          <w:p>
            <w:pPr>
              <w:pStyle w:val="Compact"/>
            </w:pPr>
            <w:r>
              <w:t xml:space="preserve">The limit field is a commercial estimate; the model currently flags for</w:t>
            </w:r>
            <w:r>
              <w:t xml:space="preserve"> </w:t>
            </w:r>
            <w:r>
              <w:rPr>
                <w:i/>
                <w:iCs/>
              </w:rPr>
              <w:t xml:space="preserve">review</w:t>
            </w:r>
            <w:r>
              <w:t xml:space="preserve">, not action</w:t>
            </w:r>
          </w:p>
        </w:tc>
        <w:tc>
          <w:tcPr/>
          <w:p>
            <w:pPr>
              <w:pStyle w:val="Compact"/>
            </w:pPr>
            <w:r>
              <w:t xml:space="preserve">Refinement (weeks)</w:t>
            </w:r>
          </w:p>
        </w:tc>
        <w:tc>
          <w:tcPr/>
          <w:p>
            <w:pPr>
              <w:pStyle w:val="Compact"/>
            </w:pPr>
            <w:r>
              <w:t xml:space="preserve">Team + ministry survey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linkage</w:t>
            </w:r>
            <w:r>
              <w:t xml:space="preserve">, corridor-level trauma admissions / insurance claims / police crash coordinates, pre-registered before testing</w:t>
            </w:r>
          </w:p>
        </w:tc>
        <w:tc>
          <w:tcPr/>
          <w:p>
            <w:pPr>
              <w:pStyle w:val="Compact"/>
            </w:pPr>
            <w:r>
              <w:t xml:space="preserve">Converts the score from theoretical-risk to evidence-anchored; closes the validation gap</w:t>
            </w:r>
          </w:p>
        </w:tc>
        <w:tc>
          <w:tcPr/>
          <w:p>
            <w:pPr>
              <w:pStyle w:val="Compact"/>
            </w:pPr>
            <w:r>
              <w:t xml:space="preserve">Refinement (weeks–months)</w:t>
            </w:r>
          </w:p>
        </w:tc>
        <w:tc>
          <w:tcPr/>
          <w:p>
            <w:pPr>
              <w:pStyle w:val="Compact"/>
            </w:pPr>
            <w:r>
              <w:t xml:space="preserve">Ministry + health/insurance data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Full-network imagery coverage</w:t>
            </w:r>
            <w:r>
              <w:t xml:space="preserve">, fill Mapillary gaps (commissioned drive or dashcam programme)</w:t>
            </w:r>
          </w:p>
        </w:tc>
        <w:tc>
          <w:tcPr/>
          <w:p>
            <w:pPr>
              <w:pStyle w:val="Compact"/>
            </w:pPr>
            <w:r>
              <w:t xml:space="preserve">Today ~24% of segments have imagery for the CV layer; the rest fall back to the proxy</w:t>
            </w:r>
          </w:p>
        </w:tc>
        <w:tc>
          <w:tcPr/>
          <w:p>
            <w:pPr>
              <w:pStyle w:val="Compact"/>
            </w:pPr>
            <w:r>
              <w:t xml:space="preserve">Refinement</w:t>
            </w:r>
          </w:p>
        </w:tc>
        <w:tc>
          <w:tcPr/>
          <w:p>
            <w:pPr>
              <w:pStyle w:val="Compact"/>
            </w:pPr>
            <w:r>
              <w:t xml:space="preserve">Team + ministry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Certified-coder CV validation</w:t>
            </w:r>
            <w:r>
              <w:t xml:space="preserve">, independent iRAP-trained raters on a statistically meaningful held-out sample, with inter-rater statistics</w:t>
            </w:r>
          </w:p>
        </w:tc>
        <w:tc>
          <w:tcPr/>
          <w:p>
            <w:pPr>
              <w:pStyle w:val="Compact"/>
            </w:pPr>
            <w:r>
              <w:t xml:space="preserve">Lifts the road-condition layer from</w:t>
            </w:r>
            <w:r>
              <w:t xml:space="preserve"> </w:t>
            </w:r>
            <w:r>
              <w:t xml:space="preserve">“consistency-checked”</w:t>
            </w:r>
            <w:r>
              <w:t xml:space="preserve"> </w:t>
            </w:r>
            <w:r>
              <w:t xml:space="preserve">to professional-grade</w:t>
            </w:r>
          </w:p>
        </w:tc>
        <w:tc>
          <w:tcPr/>
          <w:p>
            <w:pPr>
              <w:pStyle w:val="Compact"/>
            </w:pPr>
            <w:r>
              <w:t xml:space="preserve">Refinement</w:t>
            </w:r>
          </w:p>
        </w:tc>
        <w:tc>
          <w:tcPr/>
          <w:p>
            <w:pPr>
              <w:pStyle w:val="Compact"/>
            </w:pPr>
            <w:r>
              <w:t xml:space="preserve">iRAP-style assessor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Corridor aggregation, DELIVERED in this submission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CORRIDORS.md</w:t>
            </w:r>
            <w:r>
              <w:t xml:space="preserve">): flagged segments clustered into contiguous same-road corridors; top 20% hold ~76% of benefit</w:t>
            </w:r>
          </w:p>
        </w:tc>
        <w:tc>
          <w:tcPr/>
          <w:p>
            <w:pPr>
              <w:pStyle w:val="Compact"/>
            </w:pPr>
            <w:r>
              <w:t xml:space="preserve">Matches the unit of decision and budgeting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GIS / workflow integration</w:t>
            </w:r>
            <w:r>
              <w:t xml:space="preserve">, rebuild on ADB’s GIS platform and export to the ministry’s existing system; define the</w:t>
            </w:r>
            <w:r>
              <w:t xml:space="preserve"> </w:t>
            </w:r>
            <w:r>
              <w:rPr>
                <w:i/>
                <w:iCs/>
              </w:rPr>
              <w:t xml:space="preserve">standing limit-review mechanism</w:t>
            </w:r>
            <w:r>
              <w:t xml:space="preserve"> </w:t>
            </w:r>
            <w:r>
              <w:t xml:space="preserve">(trigger rules, ownership, review cadence)</w:t>
            </w:r>
          </w:p>
        </w:tc>
        <w:tc>
          <w:tcPr/>
          <w:p>
            <w:pPr>
              <w:pStyle w:val="Compact"/>
            </w:pPr>
            <w:r>
              <w:t xml:space="preserve">Makes it a recurring process, not a one-off report</w:t>
            </w:r>
          </w:p>
        </w:tc>
        <w:tc>
          <w:tcPr/>
          <w:p>
            <w:pPr>
              <w:pStyle w:val="Compact"/>
            </w:pPr>
            <w:r>
              <w:t xml:space="preserve">Finalist stage</w:t>
            </w:r>
          </w:p>
        </w:tc>
        <w:tc>
          <w:tcPr/>
          <w:p>
            <w:pPr>
              <w:pStyle w:val="Compact"/>
            </w:pPr>
            <w:r>
              <w:t xml:space="preserve">Team + ADB + ministry</w:t>
            </w:r>
          </w:p>
        </w:tc>
      </w:tr>
    </w:tbl>
    <w:bookmarkEnd w:id="9"/>
    <w:bookmarkStart w:id="10" w:name="a-credible-90-day-path-if-shortlisted"/>
    <w:p>
      <w:pPr>
        <w:pStyle w:val="Heading2"/>
      </w:pPr>
      <w:r>
        <w:t xml:space="preserve">A credible 90-day path (if shortlisted)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Weeks 1–3:</w:t>
      </w:r>
      <w:r>
        <w:t xml:space="preserve"> </w:t>
      </w:r>
      <w:r>
        <w:t xml:space="preserve">corridor aggregation; commission/secure one outcome proxy and pre-register the convergence test; recruit an independent CV coder.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Weeks 4–8:</w:t>
      </w:r>
      <w:r>
        <w:t xml:space="preserve"> </w:t>
      </w:r>
      <w:r>
        <w:t xml:space="preserve">field-audit a limit-calibration sample; run the certified-coder validation; report the confusion matrix and failure modes.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Weeks 9–12:</w:t>
      </w:r>
      <w:r>
        <w:t xml:space="preserve"> </w:t>
      </w:r>
      <w:r>
        <w:t xml:space="preserve">rebuild outputs on the ADB GIS platform; co-design the limit-review workflow with a ministry counterpart; deliver a corridor-level investment plan with local unit costs.</w:t>
      </w:r>
    </w:p>
    <w:p>
      <w:pPr>
        <w:pStyle w:val="FirstParagraph"/>
      </w:pPr>
      <w:r>
        <w:t xml:space="preserve">We are explicit that items 1, 2 and 4, the ones that would most change a funding decision,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achievable in the application window and are the core of the refinement-stage work.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2026-06-25T11:11:10Z</dcterms:created>
  <dcterms:modified xsi:type="dcterms:W3CDTF">2026-06-25T11:11:10Z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