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C2E" w:rsidRDefault="000575B7">
      <w:pPr>
        <w:rPr>
          <w:b/>
        </w:rPr>
      </w:pPr>
      <w:r w:rsidRPr="000575B7">
        <w:rPr>
          <w:b/>
        </w:rPr>
        <w:t>Rechtsschutz von Computerprogrammen</w:t>
      </w:r>
      <w:r w:rsidR="00F17E6F">
        <w:rPr>
          <w:b/>
        </w:rPr>
        <w:t xml:space="preserve">                                                                          (Stand 2014) </w:t>
      </w:r>
    </w:p>
    <w:p w:rsidR="008F54DC" w:rsidRPr="000575B7" w:rsidRDefault="008F54DC">
      <w:pPr>
        <w:rPr>
          <w:b/>
        </w:rPr>
      </w:pPr>
      <w:r>
        <w:rPr>
          <w:b/>
        </w:rPr>
        <w:t>Urheberrecht</w:t>
      </w:r>
    </w:p>
    <w:p w:rsidR="000575B7" w:rsidRPr="00D0553D" w:rsidRDefault="000575B7" w:rsidP="000575B7">
      <w:pPr>
        <w:spacing w:after="0" w:line="240" w:lineRule="auto"/>
        <w:outlineLvl w:val="3"/>
        <w:rPr>
          <w:rFonts w:eastAsia="Times New Roman" w:cstheme="minorHAnsi"/>
          <w:lang w:eastAsia="de-DE"/>
        </w:rPr>
      </w:pPr>
      <w:r w:rsidRPr="00D0553D">
        <w:rPr>
          <w:rFonts w:cstheme="minorHAnsi"/>
        </w:rPr>
        <w:t xml:space="preserve">Mit der EU-Richtlinie </w:t>
      </w:r>
      <w:r w:rsidRPr="00D0553D">
        <w:rPr>
          <w:rStyle w:val="st1"/>
          <w:rFonts w:cstheme="minorHAnsi"/>
        </w:rPr>
        <w:t>91/250/EWG</w:t>
      </w:r>
      <w:r w:rsidRPr="00D0553D">
        <w:rPr>
          <w:rStyle w:val="st1"/>
          <w:rFonts w:cstheme="minorHAnsi"/>
        </w:rPr>
        <w:t xml:space="preserve"> und der sog. EU Software Richtlinie </w:t>
      </w:r>
      <w:hyperlink r:id="rId6" w:history="1">
        <w:r w:rsidRPr="00D0553D">
          <w:rPr>
            <w:rFonts w:eastAsia="Times New Roman" w:cstheme="minorHAnsi"/>
            <w:lang w:eastAsia="de-DE"/>
          </w:rPr>
          <w:t xml:space="preserve"> 2009/24/EG</w:t>
        </w:r>
      </w:hyperlink>
      <w:r w:rsidRPr="00D0553D">
        <w:rPr>
          <w:rFonts w:eastAsia="Times New Roman" w:cstheme="minorHAnsi"/>
          <w:lang w:eastAsia="de-DE"/>
        </w:rPr>
        <w:t xml:space="preserve"> wird der Rechtsschutz von Computerprogrammen in der Europäischen Union definiert. Deutschland hat die Richtlinien durch Einfügung der §§ 69 a bis g UrhG umgesetzt. Danach sind Computerprogramme soweit sie von einer natürlichen Person durch schöpferisches</w:t>
      </w:r>
      <w:r w:rsidR="008F54DC" w:rsidRPr="00D0553D">
        <w:rPr>
          <w:rFonts w:eastAsia="Times New Roman" w:cstheme="minorHAnsi"/>
          <w:lang w:eastAsia="de-DE"/>
        </w:rPr>
        <w:t xml:space="preserve"> Wirken</w:t>
      </w:r>
      <w:r w:rsidRPr="00D0553D">
        <w:rPr>
          <w:rFonts w:eastAsia="Times New Roman" w:cstheme="minorHAnsi"/>
          <w:lang w:eastAsia="de-DE"/>
        </w:rPr>
        <w:t xml:space="preserve"> entwickelt wurden nach Maßgabe der „besonderen Bestimmungen zum Schutz von Computerprogrammen“  (§§ 69a ff UrhG) und der weiteren Bestimmungen des Urheberrechtsgesetzes geschützt.  Auch Entwürfe unterliegen bereits dem Schutz.  </w:t>
      </w:r>
      <w:r w:rsidR="008F54DC" w:rsidRPr="00D0553D">
        <w:rPr>
          <w:rFonts w:eastAsia="Times New Roman" w:cstheme="minorHAnsi"/>
          <w:lang w:eastAsia="de-DE"/>
        </w:rPr>
        <w:t xml:space="preserve">Besondere Anforderungen an die Schöpfungshöhe werden nicht gestellt, so dass die meisten Computerprogramme Schutz genießen. </w:t>
      </w:r>
      <w:r w:rsidRPr="00D0553D">
        <w:rPr>
          <w:rFonts w:eastAsia="Times New Roman" w:cstheme="minorHAnsi"/>
          <w:lang w:eastAsia="de-DE"/>
        </w:rPr>
        <w:t>Der Schutz dauert 70 Jahre nach dem Tode des Urhebers an. Durch den Status der besonderen Bestimmungen gilt es zu beachten, dass die übrigen Bestimmungen des Urheberrechts nur dann Anwendung finden, wenn in den §§ 69a ff ni</w:t>
      </w:r>
      <w:r w:rsidR="00F17E6F">
        <w:rPr>
          <w:rFonts w:eastAsia="Times New Roman" w:cstheme="minorHAnsi"/>
          <w:lang w:eastAsia="de-DE"/>
        </w:rPr>
        <w:t>cht etwas anderes bestimmt ist.</w:t>
      </w:r>
    </w:p>
    <w:p w:rsidR="00F17E6F" w:rsidRPr="00F17E6F" w:rsidRDefault="008F54DC" w:rsidP="00F17E6F">
      <w:pPr>
        <w:pStyle w:val="berschrift3"/>
        <w:rPr>
          <w:rFonts w:asciiTheme="minorHAnsi" w:hAnsiTheme="minorHAnsi" w:cstheme="minorHAnsi"/>
          <w:b w:val="0"/>
          <w:sz w:val="22"/>
          <w:szCs w:val="22"/>
        </w:rPr>
      </w:pPr>
      <w:r w:rsidRPr="00F17E6F">
        <w:rPr>
          <w:rFonts w:asciiTheme="minorHAnsi" w:hAnsiTheme="minorHAnsi" w:cstheme="minorHAnsi"/>
          <w:b w:val="0"/>
          <w:sz w:val="22"/>
          <w:szCs w:val="22"/>
        </w:rPr>
        <w:t xml:space="preserve">Hervorstechendes Merkmal bei den besonderen Bestimmungen für Computerprogramme ist, dass ein Vertrag bestimmend sein kann. </w:t>
      </w:r>
      <w:r w:rsidR="00B31B57" w:rsidRPr="00F17E6F">
        <w:rPr>
          <w:rFonts w:asciiTheme="minorHAnsi" w:hAnsiTheme="minorHAnsi" w:cstheme="minorHAnsi"/>
          <w:b w:val="0"/>
          <w:sz w:val="22"/>
          <w:szCs w:val="22"/>
        </w:rPr>
        <w:t xml:space="preserve"> Ein Arbeitgeber oder Dienstherr erwirbt </w:t>
      </w:r>
      <w:r w:rsidRPr="00F17E6F">
        <w:rPr>
          <w:rFonts w:asciiTheme="minorHAnsi" w:hAnsiTheme="minorHAnsi" w:cstheme="minorHAnsi"/>
          <w:b w:val="0"/>
          <w:sz w:val="22"/>
          <w:szCs w:val="22"/>
        </w:rPr>
        <w:t>nach § 69 b UrhG das ausschlie</w:t>
      </w:r>
      <w:r w:rsidR="00B31B57" w:rsidRPr="00F17E6F">
        <w:rPr>
          <w:rFonts w:asciiTheme="minorHAnsi" w:hAnsiTheme="minorHAnsi" w:cstheme="minorHAnsi"/>
          <w:b w:val="0"/>
          <w:sz w:val="22"/>
          <w:szCs w:val="22"/>
        </w:rPr>
        <w:t xml:space="preserve">ßliche Nutzungsrecht und wird somit Rechtsinhaber.  Er </w:t>
      </w:r>
      <w:r w:rsidRPr="00F17E6F">
        <w:rPr>
          <w:rFonts w:asciiTheme="minorHAnsi" w:hAnsiTheme="minorHAnsi" w:cstheme="minorHAnsi"/>
          <w:b w:val="0"/>
          <w:sz w:val="22"/>
          <w:szCs w:val="22"/>
        </w:rPr>
        <w:t xml:space="preserve"> allein kann bestimmen, in welcher Fo</w:t>
      </w:r>
      <w:r w:rsidR="00B31B57" w:rsidRPr="00F17E6F">
        <w:rPr>
          <w:rFonts w:asciiTheme="minorHAnsi" w:hAnsiTheme="minorHAnsi" w:cstheme="minorHAnsi"/>
          <w:b w:val="0"/>
          <w:sz w:val="22"/>
          <w:szCs w:val="22"/>
        </w:rPr>
        <w:t xml:space="preserve">rm das Computerprogramm genutzt, auch  bearbeitet  </w:t>
      </w:r>
      <w:r w:rsidRPr="00F17E6F">
        <w:rPr>
          <w:rFonts w:asciiTheme="minorHAnsi" w:hAnsiTheme="minorHAnsi" w:cstheme="minorHAnsi"/>
          <w:b w:val="0"/>
          <w:sz w:val="22"/>
          <w:szCs w:val="22"/>
        </w:rPr>
        <w:t xml:space="preserve">werden darf. </w:t>
      </w:r>
      <w:r w:rsidR="00B31B57" w:rsidRPr="00F17E6F">
        <w:rPr>
          <w:rFonts w:asciiTheme="minorHAnsi" w:hAnsiTheme="minorHAnsi" w:cstheme="minorHAnsi"/>
          <w:b w:val="0"/>
          <w:sz w:val="22"/>
          <w:szCs w:val="22"/>
        </w:rPr>
        <w:t xml:space="preserve">Die Zustimmungserfordernisse sind umfassend in § 69c geregelt. </w:t>
      </w:r>
      <w:r w:rsidRPr="00F17E6F">
        <w:rPr>
          <w:rFonts w:asciiTheme="minorHAnsi" w:hAnsiTheme="minorHAnsi" w:cstheme="minorHAnsi"/>
          <w:b w:val="0"/>
          <w:sz w:val="22"/>
          <w:szCs w:val="22"/>
        </w:rPr>
        <w:t xml:space="preserve">Die gesetzliche Schranke erlaubt lediglich, dass der zur Nutzung berechtigte eine Sicherheitskopie anfertigen darf. Der Katalog der Schranken (§§ 44a ff) findet ausdrücklich keine Anwendung auf Computerprogramme. </w:t>
      </w:r>
      <w:r w:rsidR="00B31B57" w:rsidRPr="00F17E6F">
        <w:rPr>
          <w:rFonts w:asciiTheme="minorHAnsi" w:hAnsiTheme="minorHAnsi" w:cstheme="minorHAnsi"/>
          <w:b w:val="0"/>
          <w:sz w:val="22"/>
          <w:szCs w:val="22"/>
        </w:rPr>
        <w:t xml:space="preserve"> Damit ein Zusammenfügen mehrerer Computerprogramme mögli</w:t>
      </w:r>
      <w:r w:rsidR="00F17E6F" w:rsidRPr="00F17E6F">
        <w:rPr>
          <w:rFonts w:asciiTheme="minorHAnsi" w:hAnsiTheme="minorHAnsi" w:cstheme="minorHAnsi"/>
          <w:b w:val="0"/>
          <w:sz w:val="22"/>
          <w:szCs w:val="22"/>
        </w:rPr>
        <w:t xml:space="preserve">ch wird, wird in den § 69 e das Recht der </w:t>
      </w:r>
      <w:proofErr w:type="spellStart"/>
      <w:r w:rsidR="00F17E6F" w:rsidRPr="00F17E6F">
        <w:rPr>
          <w:rFonts w:asciiTheme="minorHAnsi" w:hAnsiTheme="minorHAnsi" w:cstheme="minorHAnsi"/>
          <w:b w:val="0"/>
          <w:sz w:val="22"/>
          <w:szCs w:val="22"/>
        </w:rPr>
        <w:t>Dekompilierung</w:t>
      </w:r>
      <w:proofErr w:type="spellEnd"/>
      <w:r w:rsidR="00F17E6F">
        <w:rPr>
          <w:rFonts w:asciiTheme="minorHAnsi" w:hAnsiTheme="minorHAnsi" w:cstheme="minorHAnsi"/>
          <w:b w:val="0"/>
          <w:sz w:val="22"/>
          <w:szCs w:val="22"/>
        </w:rPr>
        <w:t xml:space="preserve"> definiert. Dieses darf ohne Zustimmung erfolgen, wenn die Handlungen durch einen zur Nutzung berechtigten erfolgen und sich nur auf die Umstände beziehen, die zur </w:t>
      </w:r>
      <w:r w:rsidR="00F17E6F" w:rsidRPr="00F17E6F">
        <w:rPr>
          <w:rFonts w:asciiTheme="minorHAnsi" w:hAnsiTheme="minorHAnsi" w:cstheme="minorHAnsi"/>
          <w:b w:val="0"/>
          <w:sz w:val="22"/>
          <w:szCs w:val="22"/>
        </w:rPr>
        <w:t>Interoperabilität notwendig sind</w:t>
      </w:r>
      <w:r w:rsidR="00F17E6F">
        <w:rPr>
          <w:rFonts w:asciiTheme="minorHAnsi" w:hAnsiTheme="minorHAnsi" w:cstheme="minorHAnsi"/>
          <w:b w:val="0"/>
          <w:sz w:val="22"/>
          <w:szCs w:val="22"/>
        </w:rPr>
        <w:t>.</w:t>
      </w:r>
    </w:p>
    <w:p w:rsidR="008F54DC" w:rsidRPr="00D0553D" w:rsidRDefault="008F54DC">
      <w:pPr>
        <w:rPr>
          <w:rStyle w:val="st1"/>
          <w:rFonts w:cstheme="minorHAnsi"/>
          <w:b/>
        </w:rPr>
      </w:pPr>
      <w:r w:rsidRPr="00D0553D">
        <w:rPr>
          <w:rStyle w:val="st1"/>
          <w:rFonts w:cstheme="minorHAnsi"/>
          <w:b/>
        </w:rPr>
        <w:t>Patentrecht</w:t>
      </w:r>
    </w:p>
    <w:p w:rsidR="008F54DC" w:rsidRPr="00D0553D" w:rsidRDefault="008F54DC">
      <w:pPr>
        <w:rPr>
          <w:rStyle w:val="st1"/>
          <w:rFonts w:cstheme="minorHAnsi"/>
        </w:rPr>
      </w:pPr>
      <w:r w:rsidRPr="00D0553D">
        <w:rPr>
          <w:rStyle w:val="st1"/>
          <w:rFonts w:cstheme="minorHAnsi"/>
        </w:rPr>
        <w:t xml:space="preserve">Computerprogramme sind dem Grunde nach nicht patentierbar. Patentierbar sind jedoch sog. </w:t>
      </w:r>
      <w:r w:rsidRPr="00D0553D">
        <w:rPr>
          <w:rFonts w:cstheme="minorHAnsi"/>
        </w:rPr>
        <w:t>programmbezogene Erfindungen</w:t>
      </w:r>
      <w:r w:rsidRPr="00D0553D">
        <w:rPr>
          <w:rFonts w:cstheme="minorHAnsi"/>
        </w:rPr>
        <w:t>. Der Patentschutz kann erst nach Eintragung erlangt werden, In Deutschland hat die Eintragung beim Deutschen Patent- und Markenamt (</w:t>
      </w:r>
      <w:hyperlink r:id="rId7" w:history="1">
        <w:r w:rsidRPr="00D0553D">
          <w:rPr>
            <w:rStyle w:val="Hyperlink"/>
            <w:rFonts w:asciiTheme="minorHAnsi" w:hAnsiTheme="minorHAnsi" w:cstheme="minorHAnsi"/>
            <w:color w:val="auto"/>
          </w:rPr>
          <w:t>www.dpma.de</w:t>
        </w:r>
      </w:hyperlink>
      <w:r w:rsidRPr="00D0553D">
        <w:rPr>
          <w:rFonts w:cstheme="minorHAnsi"/>
        </w:rPr>
        <w:t>) zu erfolgen.</w:t>
      </w:r>
      <w:r w:rsidR="00D0553D" w:rsidRPr="00D0553D">
        <w:rPr>
          <w:rFonts w:cstheme="minorHAnsi"/>
        </w:rPr>
        <w:t xml:space="preserve"> In jüngster Zeit hat höchstrichterliche Rechtsprechung dazu geführt, dass einzelne Computerprogramme bei vorliegen einer völlig neuen technischen Erfindung auch Patentschutz zugestanden wurde. </w:t>
      </w:r>
    </w:p>
    <w:p w:rsidR="008F54DC" w:rsidRPr="00D0553D" w:rsidRDefault="008F54DC">
      <w:pPr>
        <w:rPr>
          <w:rStyle w:val="st1"/>
          <w:rFonts w:cstheme="minorHAnsi"/>
          <w:b/>
        </w:rPr>
      </w:pPr>
      <w:r w:rsidRPr="00D0553D">
        <w:rPr>
          <w:rStyle w:val="st1"/>
          <w:rFonts w:cstheme="minorHAnsi"/>
          <w:b/>
        </w:rPr>
        <w:t>Markenrecht</w:t>
      </w:r>
    </w:p>
    <w:p w:rsidR="00D0553D" w:rsidRPr="00D0553D" w:rsidRDefault="00D0553D">
      <w:pPr>
        <w:rPr>
          <w:rStyle w:val="st1"/>
          <w:rFonts w:cstheme="minorHAnsi"/>
        </w:rPr>
      </w:pPr>
      <w:r w:rsidRPr="00D0553D">
        <w:rPr>
          <w:rStyle w:val="st1"/>
          <w:rFonts w:cstheme="minorHAnsi"/>
        </w:rPr>
        <w:t>Nach dem Markengesetz kann die Bezeichnung des Computerprogrammes geschützt werden. Auch hier wird der Schutz erst durch Eintragung beim DPMA erlangt. Ohne Eintragung kann jedoch eine sog. notorisch bekannte Marke (z.B. Apple) Schutz erlangen. .</w:t>
      </w:r>
    </w:p>
    <w:p w:rsidR="008F54DC" w:rsidRPr="00D0553D" w:rsidRDefault="008F54DC">
      <w:pPr>
        <w:rPr>
          <w:rStyle w:val="st1"/>
          <w:rFonts w:cstheme="minorHAnsi"/>
          <w:b/>
        </w:rPr>
      </w:pPr>
      <w:r w:rsidRPr="00D0553D">
        <w:rPr>
          <w:rStyle w:val="st1"/>
          <w:rFonts w:cstheme="minorHAnsi"/>
          <w:b/>
        </w:rPr>
        <w:t>Wettbewerbsrecht</w:t>
      </w:r>
    </w:p>
    <w:p w:rsidR="00D0553D" w:rsidRPr="00D0553D" w:rsidRDefault="00D0553D">
      <w:pPr>
        <w:rPr>
          <w:rStyle w:val="st1"/>
          <w:rFonts w:cstheme="minorHAnsi"/>
        </w:rPr>
      </w:pPr>
      <w:r w:rsidRPr="00D0553D">
        <w:rPr>
          <w:rStyle w:val="st1"/>
          <w:rFonts w:cstheme="minorHAnsi"/>
        </w:rPr>
        <w:t xml:space="preserve">Wettbewerbsrechtlicher Schutz ergibt sich, wenn ein Wettbewerber </w:t>
      </w:r>
      <w:r w:rsidR="00F17E6F">
        <w:rPr>
          <w:rStyle w:val="st1"/>
          <w:rFonts w:cstheme="minorHAnsi"/>
        </w:rPr>
        <w:t xml:space="preserve">nach dem Gesetz gegen unlauteren Wettbewerb </w:t>
      </w:r>
      <w:r w:rsidRPr="00D0553D">
        <w:rPr>
          <w:rStyle w:val="st1"/>
          <w:rFonts w:cstheme="minorHAnsi"/>
        </w:rPr>
        <w:t xml:space="preserve">sittenwidrig handelt, das heißt ein fast identisches Computerprogramm auf dem Markt anbietet, was beim Verbraucher zum Irrtum über den wahren Hersteller führen kann. </w:t>
      </w:r>
    </w:p>
    <w:p w:rsidR="008F54DC" w:rsidRDefault="008F54DC">
      <w:pPr>
        <w:rPr>
          <w:rStyle w:val="st1"/>
          <w:rFonts w:cstheme="minorHAnsi"/>
          <w:b/>
        </w:rPr>
      </w:pPr>
      <w:r w:rsidRPr="00D0553D">
        <w:rPr>
          <w:rStyle w:val="st1"/>
          <w:rFonts w:cstheme="minorHAnsi"/>
          <w:b/>
        </w:rPr>
        <w:t>Vertragsrecht</w:t>
      </w:r>
    </w:p>
    <w:p w:rsidR="00D0553D" w:rsidRDefault="00D0553D">
      <w:pPr>
        <w:rPr>
          <w:rStyle w:val="st1"/>
          <w:rFonts w:cstheme="minorHAnsi"/>
        </w:rPr>
      </w:pPr>
      <w:r>
        <w:rPr>
          <w:rStyle w:val="st1"/>
          <w:rFonts w:cstheme="minorHAnsi"/>
        </w:rPr>
        <w:t xml:space="preserve">Mittels des Vertrages können </w:t>
      </w:r>
      <w:r w:rsidR="00B31B57">
        <w:rPr>
          <w:rStyle w:val="st1"/>
          <w:rFonts w:cstheme="minorHAnsi"/>
        </w:rPr>
        <w:t xml:space="preserve">weitreichend </w:t>
      </w:r>
      <w:r>
        <w:rPr>
          <w:rStyle w:val="st1"/>
          <w:rFonts w:cstheme="minorHAnsi"/>
        </w:rPr>
        <w:t xml:space="preserve">Rechte und Pflichten zur Nutzung und zum Schutz des Computerprogrammes definiert werden. Dabei kann von gesetzlichen Regelungen abgewichen </w:t>
      </w:r>
      <w:r>
        <w:rPr>
          <w:rStyle w:val="st1"/>
          <w:rFonts w:cstheme="minorHAnsi"/>
        </w:rPr>
        <w:lastRenderedPageBreak/>
        <w:t>werden, soweit keine zwingende Norm vorliegt. Dies ist u.a. der Fall, wenn der Vertrag gegen die guten</w:t>
      </w:r>
      <w:r w:rsidR="00B31B57">
        <w:rPr>
          <w:rStyle w:val="st1"/>
          <w:rFonts w:cstheme="minorHAnsi"/>
        </w:rPr>
        <w:t xml:space="preserve"> Sitten (BGB) verstößt, oder die</w:t>
      </w:r>
      <w:r>
        <w:rPr>
          <w:rStyle w:val="st1"/>
          <w:rFonts w:cstheme="minorHAnsi"/>
        </w:rPr>
        <w:t xml:space="preserve"> Recht</w:t>
      </w:r>
      <w:r w:rsidR="00B31B57">
        <w:rPr>
          <w:rStyle w:val="st1"/>
          <w:rFonts w:cstheme="minorHAnsi"/>
        </w:rPr>
        <w:t>e</w:t>
      </w:r>
      <w:r>
        <w:rPr>
          <w:rStyle w:val="st1"/>
          <w:rFonts w:cstheme="minorHAnsi"/>
        </w:rPr>
        <w:t xml:space="preserve"> nach § 69 d Abs. 2 und 3 sowie § 69 e UrhG</w:t>
      </w:r>
      <w:r w:rsidR="00B31B57">
        <w:rPr>
          <w:rStyle w:val="st1"/>
          <w:rFonts w:cstheme="minorHAnsi"/>
        </w:rPr>
        <w:t xml:space="preserve"> ausnimmt. Vereinbarungen die den zwingenden Normen entgegenstehen, sind nichtig.</w:t>
      </w:r>
      <w:r>
        <w:rPr>
          <w:rStyle w:val="st1"/>
          <w:rFonts w:cstheme="minorHAnsi"/>
        </w:rPr>
        <w:t xml:space="preserve"> </w:t>
      </w:r>
    </w:p>
    <w:p w:rsidR="002B3579" w:rsidRDefault="002B3579">
      <w:pPr>
        <w:rPr>
          <w:rStyle w:val="st1"/>
          <w:rFonts w:cstheme="minorHAnsi"/>
        </w:rPr>
      </w:pPr>
    </w:p>
    <w:p w:rsidR="002B3579" w:rsidRPr="002B3579" w:rsidRDefault="002B3579">
      <w:pPr>
        <w:rPr>
          <w:rStyle w:val="st1"/>
          <w:rFonts w:cstheme="minorHAnsi"/>
          <w:b/>
        </w:rPr>
      </w:pPr>
      <w:bookmarkStart w:id="0" w:name="_GoBack"/>
      <w:r w:rsidRPr="002B3579">
        <w:rPr>
          <w:rStyle w:val="st1"/>
          <w:rFonts w:cstheme="minorHAnsi"/>
          <w:b/>
        </w:rPr>
        <w:t>Literaturempfehlungen</w:t>
      </w:r>
    </w:p>
    <w:bookmarkEnd w:id="0"/>
    <w:p w:rsidR="002B3579" w:rsidRDefault="002B3579" w:rsidP="002B3579">
      <w:pPr>
        <w:rPr>
          <w:rStyle w:val="st1"/>
          <w:rFonts w:cstheme="minorHAnsi"/>
        </w:rPr>
      </w:pPr>
      <w:r>
        <w:rPr>
          <w:rStyle w:val="st1"/>
          <w:rFonts w:cstheme="minorHAnsi"/>
        </w:rPr>
        <w:fldChar w:fldCharType="begin"/>
      </w:r>
      <w:r>
        <w:rPr>
          <w:rStyle w:val="st1"/>
          <w:rFonts w:cstheme="minorHAnsi"/>
        </w:rPr>
        <w:instrText xml:space="preserve"> HYPERLINK "</w:instrText>
      </w:r>
      <w:r w:rsidRPr="002B3579">
        <w:rPr>
          <w:rStyle w:val="st1"/>
          <w:rFonts w:cstheme="minorHAnsi"/>
        </w:rPr>
        <w:instrText>http://dejure.org/gesetze/UrhG/69a.html</w:instrText>
      </w:r>
      <w:r>
        <w:rPr>
          <w:rStyle w:val="st1"/>
          <w:rFonts w:cstheme="minorHAnsi"/>
        </w:rPr>
        <w:instrText xml:space="preserve">" </w:instrText>
      </w:r>
      <w:r>
        <w:rPr>
          <w:rStyle w:val="st1"/>
          <w:rFonts w:cstheme="minorHAnsi"/>
        </w:rPr>
        <w:fldChar w:fldCharType="separate"/>
      </w:r>
      <w:r w:rsidRPr="00E536EF">
        <w:rPr>
          <w:rStyle w:val="Hyperlink"/>
          <w:rFonts w:asciiTheme="minorHAnsi" w:hAnsiTheme="minorHAnsi" w:cstheme="minorHAnsi"/>
        </w:rPr>
        <w:t>http://dejure.org/gesetze/UrhG/69a.html</w:t>
      </w:r>
      <w:r>
        <w:rPr>
          <w:rStyle w:val="st1"/>
          <w:rFonts w:cstheme="minorHAnsi"/>
        </w:rPr>
        <w:fldChar w:fldCharType="end"/>
      </w:r>
      <w:r>
        <w:rPr>
          <w:rStyle w:val="st1"/>
          <w:rFonts w:cstheme="minorHAnsi"/>
        </w:rPr>
        <w:t xml:space="preserve"> </w:t>
      </w:r>
    </w:p>
    <w:p w:rsidR="002B3579" w:rsidRDefault="002B3579" w:rsidP="002B3579">
      <w:pPr>
        <w:rPr>
          <w:rFonts w:cstheme="minorHAnsi"/>
        </w:rPr>
      </w:pPr>
      <w:hyperlink r:id="rId8" w:history="1">
        <w:r w:rsidRPr="00E536EF">
          <w:rPr>
            <w:rStyle w:val="Hyperlink"/>
            <w:rFonts w:asciiTheme="minorHAnsi" w:hAnsiTheme="minorHAnsi" w:cstheme="minorHAnsi"/>
          </w:rPr>
          <w:t>http://irights.info/</w:t>
        </w:r>
      </w:hyperlink>
    </w:p>
    <w:p w:rsidR="002B3579" w:rsidRDefault="002B3579" w:rsidP="002B3579">
      <w:pPr>
        <w:rPr>
          <w:rFonts w:cstheme="minorHAnsi"/>
        </w:rPr>
      </w:pPr>
      <w:hyperlink r:id="rId9" w:history="1">
        <w:r w:rsidRPr="00E536EF">
          <w:rPr>
            <w:rStyle w:val="Hyperlink"/>
            <w:rFonts w:asciiTheme="minorHAnsi" w:hAnsiTheme="minorHAnsi" w:cstheme="minorHAnsi"/>
          </w:rPr>
          <w:t>http://www.uni-muenster.de/Jura.itm/hoeren/itm/wp-content/uploads/Skript-Internetrecht-April-2014.pdf</w:t>
        </w:r>
      </w:hyperlink>
    </w:p>
    <w:p w:rsidR="002B3579" w:rsidRPr="00D0553D" w:rsidRDefault="002B3579" w:rsidP="002B3579">
      <w:pPr>
        <w:rPr>
          <w:rFonts w:cstheme="minorHAnsi"/>
        </w:rPr>
      </w:pPr>
    </w:p>
    <w:p w:rsidR="002B3579" w:rsidRDefault="002B3579">
      <w:pPr>
        <w:rPr>
          <w:rStyle w:val="st1"/>
          <w:rFonts w:cstheme="minorHAnsi"/>
        </w:rPr>
      </w:pPr>
    </w:p>
    <w:p w:rsidR="002B3579" w:rsidRPr="00D0553D" w:rsidRDefault="002B3579">
      <w:pPr>
        <w:rPr>
          <w:rFonts w:cstheme="minorHAnsi"/>
        </w:rPr>
      </w:pPr>
    </w:p>
    <w:sectPr w:rsidR="002B3579" w:rsidRPr="00D055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1D579D"/>
    <w:multiLevelType w:val="multilevel"/>
    <w:tmpl w:val="D160E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5B7"/>
    <w:rsid w:val="000575B7"/>
    <w:rsid w:val="00107C39"/>
    <w:rsid w:val="002B3579"/>
    <w:rsid w:val="005656BF"/>
    <w:rsid w:val="005E691F"/>
    <w:rsid w:val="008F54DC"/>
    <w:rsid w:val="00B31B57"/>
    <w:rsid w:val="00D0553D"/>
    <w:rsid w:val="00F17E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07C39"/>
  </w:style>
  <w:style w:type="paragraph" w:styleId="berschrift1">
    <w:name w:val="heading 1"/>
    <w:basedOn w:val="Standard"/>
    <w:next w:val="Standard"/>
    <w:link w:val="berschrift1Zchn"/>
    <w:uiPriority w:val="9"/>
    <w:qFormat/>
    <w:rsid w:val="00107C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3">
    <w:name w:val="heading 3"/>
    <w:basedOn w:val="Standard"/>
    <w:link w:val="berschrift3Zchn"/>
    <w:uiPriority w:val="9"/>
    <w:qFormat/>
    <w:rsid w:val="00F17E6F"/>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07C39"/>
    <w:rPr>
      <w:rFonts w:asciiTheme="majorHAnsi" w:eastAsiaTheme="majorEastAsia" w:hAnsiTheme="majorHAnsi" w:cstheme="majorBidi"/>
      <w:b/>
      <w:bCs/>
      <w:color w:val="365F91" w:themeColor="accent1" w:themeShade="BF"/>
      <w:sz w:val="28"/>
      <w:szCs w:val="28"/>
    </w:rPr>
  </w:style>
  <w:style w:type="paragraph" w:styleId="KeinLeerraum">
    <w:name w:val="No Spacing"/>
    <w:uiPriority w:val="1"/>
    <w:qFormat/>
    <w:rsid w:val="00107C39"/>
    <w:pPr>
      <w:spacing w:after="0" w:line="240" w:lineRule="auto"/>
    </w:pPr>
  </w:style>
  <w:style w:type="character" w:customStyle="1" w:styleId="st1">
    <w:name w:val="st1"/>
    <w:basedOn w:val="Absatz-Standardschriftart"/>
    <w:rsid w:val="000575B7"/>
  </w:style>
  <w:style w:type="character" w:styleId="Hyperlink">
    <w:name w:val="Hyperlink"/>
    <w:basedOn w:val="Absatz-Standardschriftart"/>
    <w:uiPriority w:val="99"/>
    <w:unhideWhenUsed/>
    <w:rsid w:val="000575B7"/>
    <w:rPr>
      <w:rFonts w:ascii="Arial" w:hAnsi="Arial" w:cs="Arial" w:hint="default"/>
      <w:color w:val="1A0DAB"/>
      <w:u w:val="single"/>
    </w:rPr>
  </w:style>
  <w:style w:type="character" w:customStyle="1" w:styleId="berschrift3Zchn">
    <w:name w:val="Überschrift 3 Zchn"/>
    <w:basedOn w:val="Absatz-Standardschriftart"/>
    <w:link w:val="berschrift3"/>
    <w:uiPriority w:val="9"/>
    <w:rsid w:val="00F17E6F"/>
    <w:rPr>
      <w:rFonts w:ascii="Times New Roman" w:eastAsia="Times New Roman" w:hAnsi="Times New Roman" w:cs="Times New Roman"/>
      <w:b/>
      <w:bCs/>
      <w:sz w:val="27"/>
      <w:szCs w:val="27"/>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07C39"/>
  </w:style>
  <w:style w:type="paragraph" w:styleId="berschrift1">
    <w:name w:val="heading 1"/>
    <w:basedOn w:val="Standard"/>
    <w:next w:val="Standard"/>
    <w:link w:val="berschrift1Zchn"/>
    <w:uiPriority w:val="9"/>
    <w:qFormat/>
    <w:rsid w:val="00107C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3">
    <w:name w:val="heading 3"/>
    <w:basedOn w:val="Standard"/>
    <w:link w:val="berschrift3Zchn"/>
    <w:uiPriority w:val="9"/>
    <w:qFormat/>
    <w:rsid w:val="00F17E6F"/>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07C39"/>
    <w:rPr>
      <w:rFonts w:asciiTheme="majorHAnsi" w:eastAsiaTheme="majorEastAsia" w:hAnsiTheme="majorHAnsi" w:cstheme="majorBidi"/>
      <w:b/>
      <w:bCs/>
      <w:color w:val="365F91" w:themeColor="accent1" w:themeShade="BF"/>
      <w:sz w:val="28"/>
      <w:szCs w:val="28"/>
    </w:rPr>
  </w:style>
  <w:style w:type="paragraph" w:styleId="KeinLeerraum">
    <w:name w:val="No Spacing"/>
    <w:uiPriority w:val="1"/>
    <w:qFormat/>
    <w:rsid w:val="00107C39"/>
    <w:pPr>
      <w:spacing w:after="0" w:line="240" w:lineRule="auto"/>
    </w:pPr>
  </w:style>
  <w:style w:type="character" w:customStyle="1" w:styleId="st1">
    <w:name w:val="st1"/>
    <w:basedOn w:val="Absatz-Standardschriftart"/>
    <w:rsid w:val="000575B7"/>
  </w:style>
  <w:style w:type="character" w:styleId="Hyperlink">
    <w:name w:val="Hyperlink"/>
    <w:basedOn w:val="Absatz-Standardschriftart"/>
    <w:uiPriority w:val="99"/>
    <w:unhideWhenUsed/>
    <w:rsid w:val="000575B7"/>
    <w:rPr>
      <w:rFonts w:ascii="Arial" w:hAnsi="Arial" w:cs="Arial" w:hint="default"/>
      <w:color w:val="1A0DAB"/>
      <w:u w:val="single"/>
    </w:rPr>
  </w:style>
  <w:style w:type="character" w:customStyle="1" w:styleId="berschrift3Zchn">
    <w:name w:val="Überschrift 3 Zchn"/>
    <w:basedOn w:val="Absatz-Standardschriftart"/>
    <w:link w:val="berschrift3"/>
    <w:uiPriority w:val="9"/>
    <w:rsid w:val="00F17E6F"/>
    <w:rPr>
      <w:rFonts w:ascii="Times New Roman" w:eastAsia="Times New Roman" w:hAnsi="Times New Roman" w:cs="Times New Roman"/>
      <w:b/>
      <w:bCs/>
      <w:sz w:val="27"/>
      <w:szCs w:val="27"/>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939247">
      <w:bodyDiv w:val="1"/>
      <w:marLeft w:val="0"/>
      <w:marRight w:val="0"/>
      <w:marTop w:val="0"/>
      <w:marBottom w:val="0"/>
      <w:divBdr>
        <w:top w:val="none" w:sz="0" w:space="0" w:color="auto"/>
        <w:left w:val="none" w:sz="0" w:space="0" w:color="auto"/>
        <w:bottom w:val="none" w:sz="0" w:space="0" w:color="auto"/>
        <w:right w:val="none" w:sz="0" w:space="0" w:color="auto"/>
      </w:divBdr>
      <w:divsChild>
        <w:div w:id="1358392414">
          <w:marLeft w:val="0"/>
          <w:marRight w:val="0"/>
          <w:marTop w:val="0"/>
          <w:marBottom w:val="0"/>
          <w:divBdr>
            <w:top w:val="none" w:sz="0" w:space="0" w:color="auto"/>
            <w:left w:val="none" w:sz="0" w:space="0" w:color="auto"/>
            <w:bottom w:val="none" w:sz="0" w:space="0" w:color="auto"/>
            <w:right w:val="none" w:sz="0" w:space="0" w:color="auto"/>
          </w:divBdr>
          <w:divsChild>
            <w:div w:id="2046247836">
              <w:marLeft w:val="0"/>
              <w:marRight w:val="0"/>
              <w:marTop w:val="0"/>
              <w:marBottom w:val="0"/>
              <w:divBdr>
                <w:top w:val="none" w:sz="0" w:space="0" w:color="auto"/>
                <w:left w:val="none" w:sz="0" w:space="0" w:color="auto"/>
                <w:bottom w:val="none" w:sz="0" w:space="0" w:color="auto"/>
                <w:right w:val="none" w:sz="0" w:space="0" w:color="auto"/>
              </w:divBdr>
              <w:divsChild>
                <w:div w:id="1012611663">
                  <w:marLeft w:val="0"/>
                  <w:marRight w:val="0"/>
                  <w:marTop w:val="0"/>
                  <w:marBottom w:val="0"/>
                  <w:divBdr>
                    <w:top w:val="none" w:sz="0" w:space="0" w:color="auto"/>
                    <w:left w:val="none" w:sz="0" w:space="0" w:color="auto"/>
                    <w:bottom w:val="none" w:sz="0" w:space="0" w:color="auto"/>
                    <w:right w:val="none" w:sz="0" w:space="0" w:color="auto"/>
                  </w:divBdr>
                  <w:divsChild>
                    <w:div w:id="14126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879948">
      <w:bodyDiv w:val="1"/>
      <w:marLeft w:val="0"/>
      <w:marRight w:val="0"/>
      <w:marTop w:val="0"/>
      <w:marBottom w:val="0"/>
      <w:divBdr>
        <w:top w:val="none" w:sz="0" w:space="0" w:color="auto"/>
        <w:left w:val="none" w:sz="0" w:space="0" w:color="auto"/>
        <w:bottom w:val="none" w:sz="0" w:space="0" w:color="auto"/>
        <w:right w:val="none" w:sz="0" w:space="0" w:color="auto"/>
      </w:divBdr>
      <w:divsChild>
        <w:div w:id="1485197173">
          <w:marLeft w:val="0"/>
          <w:marRight w:val="0"/>
          <w:marTop w:val="0"/>
          <w:marBottom w:val="0"/>
          <w:divBdr>
            <w:top w:val="none" w:sz="0" w:space="0" w:color="auto"/>
            <w:left w:val="none" w:sz="0" w:space="0" w:color="auto"/>
            <w:bottom w:val="none" w:sz="0" w:space="0" w:color="auto"/>
            <w:right w:val="none" w:sz="0" w:space="0" w:color="auto"/>
          </w:divBdr>
          <w:divsChild>
            <w:div w:id="1939558448">
              <w:marLeft w:val="0"/>
              <w:marRight w:val="0"/>
              <w:marTop w:val="0"/>
              <w:marBottom w:val="0"/>
              <w:divBdr>
                <w:top w:val="none" w:sz="0" w:space="0" w:color="auto"/>
                <w:left w:val="none" w:sz="0" w:space="0" w:color="auto"/>
                <w:bottom w:val="none" w:sz="0" w:space="0" w:color="auto"/>
                <w:right w:val="none" w:sz="0" w:space="0" w:color="auto"/>
              </w:divBdr>
              <w:divsChild>
                <w:div w:id="1542667922">
                  <w:marLeft w:val="0"/>
                  <w:marRight w:val="0"/>
                  <w:marTop w:val="0"/>
                  <w:marBottom w:val="0"/>
                  <w:divBdr>
                    <w:top w:val="none" w:sz="0" w:space="0" w:color="auto"/>
                    <w:left w:val="none" w:sz="0" w:space="0" w:color="auto"/>
                    <w:bottom w:val="none" w:sz="0" w:space="0" w:color="auto"/>
                    <w:right w:val="none" w:sz="0" w:space="0" w:color="auto"/>
                  </w:divBdr>
                  <w:divsChild>
                    <w:div w:id="854658949">
                      <w:marLeft w:val="0"/>
                      <w:marRight w:val="0"/>
                      <w:marTop w:val="0"/>
                      <w:marBottom w:val="0"/>
                      <w:divBdr>
                        <w:top w:val="none" w:sz="0" w:space="0" w:color="auto"/>
                        <w:left w:val="none" w:sz="0" w:space="0" w:color="auto"/>
                        <w:bottom w:val="none" w:sz="0" w:space="0" w:color="auto"/>
                        <w:right w:val="none" w:sz="0" w:space="0" w:color="auto"/>
                      </w:divBdr>
                      <w:divsChild>
                        <w:div w:id="682783967">
                          <w:marLeft w:val="0"/>
                          <w:marRight w:val="0"/>
                          <w:marTop w:val="0"/>
                          <w:marBottom w:val="0"/>
                          <w:divBdr>
                            <w:top w:val="none" w:sz="0" w:space="0" w:color="auto"/>
                            <w:left w:val="none" w:sz="0" w:space="0" w:color="auto"/>
                            <w:bottom w:val="none" w:sz="0" w:space="0" w:color="auto"/>
                            <w:right w:val="none" w:sz="0" w:space="0" w:color="auto"/>
                          </w:divBdr>
                          <w:divsChild>
                            <w:div w:id="5252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rights.info/" TargetMode="External"/><Relationship Id="rId3" Type="http://schemas.microsoft.com/office/2007/relationships/stylesWithEffects" Target="stylesWithEffects.xml"/><Relationship Id="rId7" Type="http://schemas.openxmlformats.org/officeDocument/2006/relationships/hyperlink" Target="http://www.dpma.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de/url?url=http://eur-lex.europa.eu/LexUriServ/LexUriServ.do%3Furi%3DOJ:L:2009:111:0016:0022:DE:PDF&amp;rct=j&amp;frm=1&amp;q=&amp;esrc=s&amp;sa=U&amp;ei=Y4CqU6PIFPHA7AaHo4GIAg&amp;ved=0CBQQFjAA&amp;usg=AFQjCNFz0i6Kl2nQ4HBhC8AlhCI70d6Ydw"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uni-muenster.de/Jura.itm/hoeren/itm/wp-content/uploads/Skript-Internetrecht-April-2014.pdf"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574</Words>
  <Characters>3620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SUB Hamburg</Company>
  <LinksUpToDate>false</LinksUpToDate>
  <CharactersWithSpaces>4186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Beger, Prof. Dr. Gabriele</dc:creator>
  <cp:keywords/>
  <dc:description/>
  <cp:lastModifiedBy>Beger, Prof. Dr. Gabriele</cp:lastModifiedBy>
  <cp:revision>2</cp:revision>
  <dcterms:created xsi:type="dcterms:W3CDTF">2014-06-25T07:54:00Z</dcterms:created>
  <dcterms:modified xsi:type="dcterms:W3CDTF">2014-06-25T08:46:00Z</dcterms:modified>
</cp:coreProperties>
</file>