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drawing>
          <wp:inline distT="0" distB="0" distL="0" distR="0">
            <wp:extent cx="100965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009650" cy="723900"/>
                    </a:xfrm>
                    <a:prstGeom prst="rect">
                      <a:avLst/>
                    </a:prstGeom>
                  </pic:spPr>
                </pic:pic>
              </a:graphicData>
            </a:graphic>
          </wp:inline>
        </w:drawing>
      </w:r>
    </w:p>
    <w:tbl>
      <w:tblPr>
        <w:tblW w:type="pct" w:w="100%"/>
        <w:tblBorders>
          <w:top w:val="none"/>
          <w:left w:val="none"/>
          <w:bottom w:val="none"/>
          <w:right w:val="none"/>
          <w:insideH w:val="none"/>
          <w:insideV w:val="none"/>
        </w:tblBorders>
      </w:tblPr>
      <w:tblGrid>
        <w:gridCol w:w="100"/>
      </w:tblGrid>
      <w:tr>
        <w:tc>
          <w:tcPr>
            <w:shd w:fill="EF5350" w:val="clear"/>
            <w:tcMar>
              <w:top w:type="dxa" w:w="260"/>
              <w:left w:type="dxa" w:w="300"/>
              <w:bottom w:type="dxa" w:w="300"/>
              <w:right w:type="dxa" w:w="300"/>
            </w:tcMar>
          </w:tcPr>
          <w:p>
            <w:r>
              <w:rPr>
                <w:rFonts w:ascii="Liberation Mono" w:cs="Liberation Mono" w:eastAsia="Liberation Mono" w:hAnsi="Liberation Mono"/>
                <w:b/>
                <w:bCs/>
                <w:color w:val="FFFFFF"/>
                <w:sz w:val="20"/>
                <w:szCs w:val="20"/>
              </w:rPr>
              <w:t xml:space="preserve">TASK-25</w:t>
            </w:r>
          </w:p>
          <w:p>
            <w:pPr>
              <w:spacing w:before="60"/>
            </w:pPr>
            <w:r>
              <w:rPr>
                <w:rFonts w:ascii="Liberation Sans" w:cs="Liberation Sans" w:eastAsia="Liberation Sans" w:hAnsi="Liberation Sans"/>
                <w:b/>
                <w:bCs/>
                <w:color w:val="FFFFFF"/>
                <w:sz w:val="40"/>
                <w:szCs w:val="40"/>
              </w:rPr>
              <w:t xml:space="preserve">Proposal Evaluation Rubric</w:t>
            </w:r>
          </w:p>
          <w:p>
            <w:pPr>
              <w:spacing w:before="80"/>
            </w:pPr>
            <w:r>
              <w:rPr>
                <w:rFonts w:ascii="Liberation Sans" w:cs="Liberation Sans" w:eastAsia="Liberation Sans" w:hAnsi="Liberation Sans"/>
                <w:color w:val="FFE1DF"/>
                <w:sz w:val="22"/>
                <w:szCs w:val="22"/>
              </w:rPr>
              <w:t xml:space="preserve">Criteria-to-Constitution mapping for automated pre-screening</w:t>
            </w:r>
          </w:p>
        </w:tc>
      </w:tr>
    </w:tbl>
    <w:p>
      <w:pPr>
        <w:spacing w:after="60" w:before="260"/>
      </w:pPr>
      <w:r>
        <w:rPr>
          <w:rFonts w:ascii="Liberation Sans" w:cs="Liberation Sans" w:eastAsia="Liberation Sans" w:hAnsi="Liberation Sans"/>
          <w:b/>
          <w:bCs/>
          <w:color w:val="16202A"/>
          <w:sz w:val="19"/>
          <w:szCs w:val="19"/>
        </w:rPr>
        <w:t xml:space="preserve">Sources</w:t>
      </w:r>
    </w:p>
    <w:p>
      <w:pPr>
        <w:spacing w:after="30"/>
      </w:pPr>
      <w:r>
        <w:rPr>
          <w:rFonts w:ascii="Liberation Sans" w:cs="Liberation Sans" w:eastAsia="Liberation Sans" w:hAnsi="Liberation Sans"/>
          <w:b/>
          <w:bCs/>
          <w:color w:val="16202A"/>
          <w:sz w:val="19"/>
          <w:szCs w:val="19"/>
        </w:rPr>
        <w:t xml:space="preserve">Task: </w:t>
      </w:r>
      <w:r>
        <w:rPr>
          <w:rFonts w:ascii="Liberation Sans" w:cs="Liberation Sans" w:eastAsia="Liberation Sans" w:hAnsi="Liberation Sans"/>
          <w:color w:val="5B6670"/>
          <w:sz w:val="19"/>
          <w:szCs w:val="19"/>
        </w:rPr>
        <w:t xml:space="preserve">TASK-25, Proposal Evaluation Framework with Automated Pre-Screening.</w:t>
      </w:r>
    </w:p>
    <w:p>
      <w:pPr>
        <w:spacing w:after="4"/>
      </w:pPr>
      <w:r>
        <w:rPr>
          <w:rFonts w:ascii="Liberation Sans" w:cs="Liberation Sans" w:eastAsia="Liberation Sans" w:hAnsi="Liberation Sans"/>
          <w:b/>
          <w:bCs/>
          <w:color w:val="16202A"/>
          <w:sz w:val="19"/>
          <w:szCs w:val="19"/>
        </w:rPr>
        <w:t xml:space="preserve">Checklist: </w:t>
      </w:r>
      <w:r>
        <w:rPr>
          <w:rFonts w:ascii="Liberation Sans" w:cs="Liberation Sans" w:eastAsia="Liberation Sans" w:hAnsi="Liberation Sans"/>
          <w:color w:val="5B6670"/>
          <w:sz w:val="19"/>
          <w:szCs w:val="19"/>
        </w:rPr>
        <w:t xml:space="preserve">“Adoption of Standardised Proposal Evaluation Criteria,” Snapshot proposal #7, moderator CaptDeFi. Passed, ratified 6 Oct 2025.</w:t>
      </w:r>
    </w:p>
    <w:p>
      <w:pPr>
        <w:spacing w:after="30"/>
      </w:pPr>
      <w:hyperlink w:history="1" r:id="rIdq_ggmp3unj-6myytsymua">
        <w:r>
          <w:rPr>
            <w:rFonts w:ascii="Liberation Mono" w:cs="Liberation Mono" w:eastAsia="Liberation Mono" w:hAnsi="Liberation Mono"/>
            <w:color w:val="B3272A"/>
            <w:sz w:val="16"/>
            <w:szCs w:val="16"/>
            <w:u w:val="single"/>
          </w:rPr>
          <w:t xml:space="preserve">https://snapshot.box/#/s:rbnt.eth/proposal/0xf2a05384e37a710c1600db1abbac9b4dc66444a56a1ed49df7f0e3dbfd7570e7</w:t>
        </w:r>
      </w:hyperlink>
    </w:p>
    <w:p>
      <w:pPr>
        <w:spacing w:after="4"/>
      </w:pPr>
      <w:r>
        <w:rPr>
          <w:rFonts w:ascii="Liberation Sans" w:cs="Liberation Sans" w:eastAsia="Liberation Sans" w:hAnsi="Liberation Sans"/>
          <w:b/>
          <w:bCs/>
          <w:color w:val="16202A"/>
          <w:sz w:val="19"/>
          <w:szCs w:val="19"/>
        </w:rPr>
        <w:t xml:space="preserve">Constitution: </w:t>
      </w:r>
      <w:r>
        <w:rPr>
          <w:rFonts w:ascii="Liberation Sans" w:cs="Liberation Sans" w:eastAsia="Liberation Sans" w:hAnsi="Liberation Sans"/>
          <w:color w:val="5B6670"/>
          <w:sz w:val="19"/>
          <w:szCs w:val="19"/>
        </w:rPr>
        <w:t xml:space="preserve">Redbelly Community DAO Constitution v1.3, current. Supersedes v1.2 (ratified via Snapshot vote 20 Sep 2025). Version history: governance consolidation incorporating ratified constitutional questionnaire and meeting clarifications.</w:t>
      </w:r>
    </w:p>
    <w:p>
      <w:pPr>
        <w:spacing w:after="30"/>
      </w:pPr>
      <w:hyperlink w:history="1" r:id="rIdcmedglvhwtkymy1qa_c_f">
        <w:r>
          <w:rPr>
            <w:rFonts w:ascii="Liberation Mono" w:cs="Liberation Mono" w:eastAsia="Liberation Mono" w:hAnsi="Liberation Mono"/>
            <w:color w:val="B3272A"/>
            <w:sz w:val="16"/>
            <w:szCs w:val="16"/>
            <w:u w:val="single"/>
          </w:rPr>
          <w:t xml:space="preserve">https://cdn.jsdelivr.net/gh/hildecorp/redbellydaotask25@main/website/constitutionv1.3.pdf</w:t>
        </w:r>
      </w:hyperlink>
    </w:p>
    <w:p>
      <w:pPr>
        <w:spacing w:after="4"/>
      </w:pPr>
      <w:r>
        <w:rPr>
          <w:rFonts w:ascii="Liberation Sans" w:cs="Liberation Sans" w:eastAsia="Liberation Sans" w:hAnsi="Liberation Sans"/>
          <w:b/>
          <w:bCs/>
          <w:color w:val="16202A"/>
          <w:sz w:val="19"/>
          <w:szCs w:val="19"/>
        </w:rPr>
        <w:t xml:space="preserve">Code of Conduct: </w:t>
      </w:r>
      <w:r>
        <w:rPr>
          <w:rFonts w:ascii="Liberation Sans" w:cs="Liberation Sans" w:eastAsia="Liberation Sans" w:hAnsi="Liberation Sans"/>
          <w:color w:val="5B6670"/>
          <w:sz w:val="19"/>
          <w:szCs w:val="19"/>
        </w:rPr>
        <w:t xml:space="preserve">Redbelly Community DAO Code of Conduct v1.0, ratified via Snapshot vote 6 Oct 2025.</w:t>
      </w:r>
    </w:p>
    <w:p>
      <w:pPr>
        <w:spacing w:after="30"/>
      </w:pPr>
      <w:hyperlink w:history="1" r:id="rId7kmgnu6rmdgtjxavtj4rm">
        <w:r>
          <w:rPr>
            <w:rFonts w:ascii="Liberation Mono" w:cs="Liberation Mono" w:eastAsia="Liberation Mono" w:hAnsi="Liberation Mono"/>
            <w:color w:val="B3272A"/>
            <w:sz w:val="16"/>
            <w:szCs w:val="16"/>
            <w:u w:val="single"/>
          </w:rPr>
          <w:t xml:space="preserve">https://firebasestorage.googleapis.com/v0/b/redbelly-community-dao.firebasestorage.app/o/resources%2F1762476540292-Redbelly%20Community%20DAO%20Code%20of%20Conduct%20-%20Ratified.pdf?alt=media&amp;token=84ca2c33-a502-4991-9720-4e6154847416</w:t>
        </w:r>
      </w:hyperlink>
    </w:p>
    <w:p>
      <w:pPr>
        <w:spacing w:after="60" w:before="200"/>
      </w:pPr>
      <w:r>
        <w:rPr>
          <w:rFonts w:ascii="Liberation Sans" w:cs="Liberation Sans" w:eastAsia="Liberation Sans" w:hAnsi="Liberation Sans"/>
          <w:b/>
          <w:bCs/>
          <w:color w:val="16202A"/>
          <w:sz w:val="19"/>
          <w:szCs w:val="19"/>
        </w:rPr>
        <w:t xml:space="preserve">How to read this</w:t>
      </w:r>
    </w:p>
    <w:p>
      <w:pPr>
        <w:spacing w:after="40"/>
      </w:pPr>
      <w:r>
        <w:rPr>
          <w:rFonts w:ascii="Liberation Sans" w:cs="Liberation Sans" w:eastAsia="Liberation Sans" w:hAnsi="Liberation Sans"/>
          <w:color w:val="16202A"/>
          <w:sz w:val="19"/>
          <w:szCs w:val="19"/>
        </w:rPr>
        <w:t xml:space="preserve">Each of the 11 criteria below carries the pass conditions and flag condition exactly as ratified, with no rewording. Below that, this rubric adds a Constitution anchor: the section of Constitution v1.3 (or the Code of Conduct) that grounds the criterion in DAO governance text, so a flag can cite a rule number instead of a reviewer's opinion. Four criteria have never had a clean anchor. That is stated plainly rather than forced. A fifth, Strategic Fit, lost its anchor when Constitution v1.3 retired the pod structure section entirely. That history, and one other ratified-text gap, are named in Known Discrepancies at the end rather than silently resolved.</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1. </w:t>
      </w:r>
      <w:r>
        <w:rPr>
          <w:rFonts w:ascii="Liberation Sans" w:cs="Liberation Sans" w:eastAsia="Liberation Sans" w:hAnsi="Liberation Sans"/>
          <w:b/>
          <w:bCs/>
          <w:color w:val="16202A"/>
          <w:sz w:val="26"/>
          <w:szCs w:val="26"/>
        </w:rPr>
        <w:t xml:space="preserve">Budget Alignment &amp; Limits</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Clear separation of USDT (external spend) and RBNT (internal rewards).</w:t>
      </w:r>
    </w:p>
    <w:p>
      <w:pPr>
        <w:pStyle w:val="ListParagraph"/>
        <w:numPr>
          <w:ilvl w:val="0"/>
          <w:numId w:val="2"/>
        </w:numPr>
        <w:spacing w:after="60"/>
      </w:pPr>
      <w:r>
        <w:rPr>
          <w:rFonts w:ascii="Liberation Sans" w:cs="Liberation Sans" w:eastAsia="Liberation Sans" w:hAnsi="Liberation Sans"/>
          <w:color w:val="16202A"/>
          <w:sz w:val="21"/>
          <w:szCs w:val="21"/>
        </w:rPr>
        <w:t xml:space="preserve">Cost breakdown or justification included.</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missing USDT/RBNT split, excessive allocation, or weak justification.</w:t>
      </w:r>
    </w:p>
    <w:p>
      <w:pPr>
        <w:spacing w:after="20" w:before="140"/>
      </w:pPr>
      <w:r>
        <w:rPr>
          <w:rFonts w:ascii="Liberation Mono" w:cs="Liberation Mono" w:eastAsia="Liberation Mono" w:hAnsi="Liberation Mono"/>
          <w:b/>
          <w:bCs/>
          <w:color w:val="16202A"/>
          <w:sz w:val="15"/>
          <w:szCs w:val="15"/>
          <w:shd w:fill="86EFAC" w:val="clear"/>
        </w:rPr>
        <w:t xml:space="preserve">CLEAN MATCH  </w:t>
      </w:r>
      <w:r>
        <w:rPr>
          <w:rFonts w:ascii="Liberation Sans" w:cs="Liberation Sans" w:eastAsia="Liberation Sans" w:hAnsi="Liberation Sans"/>
          <w:b/>
          <w:bCs/>
          <w:color w:val="16202A"/>
          <w:sz w:val="19"/>
          <w:szCs w:val="19"/>
        </w:rPr>
        <w:t xml:space="preserve">  Constitution anchor: </w:t>
      </w:r>
      <w:hyperlink w:history="1" r:id="rIdxjhtw-fyjstsfu2swzh7o">
        <w:r>
          <w:rPr>
            <w:rFonts w:ascii="Liberation Sans" w:cs="Liberation Sans" w:eastAsia="Liberation Sans" w:hAnsi="Liberation Sans"/>
            <w:b/>
            <w:bCs/>
            <w:color w:val="B3272A"/>
            <w:sz w:val="19"/>
            <w:szCs w:val="19"/>
            <w:u w:val="single"/>
          </w:rPr>
          <w:t xml:space="preserve">Section 5.7, Budgeting.</w:t>
        </w:r>
      </w:hyperlink>
    </w:p>
    <w:p>
      <w:pPr>
        <w:spacing w:after="100"/>
      </w:pPr>
      <w:r>
        <w:rPr>
          <w:rFonts w:ascii="Liberation Sans" w:cs="Liberation Sans" w:eastAsia="Liberation Sans" w:hAnsi="Liberation Sans"/>
          <w:color w:val="5B6670"/>
          <w:sz w:val="19"/>
          <w:szCs w:val="19"/>
        </w:rPr>
        <w:t xml:space="preserve">Annual cap 100,000 USDT. RBNT: 10,000,000 total available for DAO incentives. 10% minimum allocation reserved for Open Innovation.</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2. </w:t>
      </w:r>
      <w:r>
        <w:rPr>
          <w:rFonts w:ascii="Liberation Sans" w:cs="Liberation Sans" w:eastAsia="Liberation Sans" w:hAnsi="Liberation Sans"/>
          <w:b/>
          <w:bCs/>
          <w:color w:val="16202A"/>
          <w:sz w:val="26"/>
          <w:szCs w:val="26"/>
        </w:rPr>
        <w:t xml:space="preserve">Payment &amp; Payout Structure</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Payouts milestone-based or post-completion.</w:t>
      </w:r>
    </w:p>
    <w:p>
      <w:pPr>
        <w:pStyle w:val="ListParagraph"/>
        <w:numPr>
          <w:ilvl w:val="0"/>
          <w:numId w:val="2"/>
        </w:numPr>
        <w:spacing w:after="60"/>
      </w:pPr>
      <w:r>
        <w:rPr>
          <w:rFonts w:ascii="Liberation Sans" w:cs="Liberation Sans" w:eastAsia="Liberation Sans" w:hAnsi="Liberation Sans"/>
          <w:color w:val="16202A"/>
          <w:sz w:val="21"/>
          <w:szCs w:val="21"/>
        </w:rPr>
        <w:t xml:space="preserve">Upfront requests require clear justification.</w:t>
      </w:r>
    </w:p>
    <w:p>
      <w:pPr>
        <w:pStyle w:val="ListParagraph"/>
        <w:numPr>
          <w:ilvl w:val="0"/>
          <w:numId w:val="2"/>
        </w:numPr>
        <w:spacing w:after="60"/>
      </w:pPr>
      <w:r>
        <w:rPr>
          <w:rFonts w:ascii="Liberation Sans" w:cs="Liberation Sans" w:eastAsia="Liberation Sans" w:hAnsi="Liberation Sans"/>
          <w:color w:val="16202A"/>
          <w:sz w:val="21"/>
          <w:szCs w:val="21"/>
        </w:rPr>
        <w:t xml:space="preserve">Milestones tied to deliverables.</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large upfront payments lack justification or no milestone structure provided.</w:t>
      </w:r>
    </w:p>
    <w:p>
      <w:pPr>
        <w:spacing w:after="20" w:before="140"/>
      </w:pPr>
      <w:r>
        <w:rPr>
          <w:rFonts w:ascii="Liberation Mono" w:cs="Liberation Mono" w:eastAsia="Liberation Mono" w:hAnsi="Liberation Mono"/>
          <w:b/>
          <w:bCs/>
          <w:color w:val="16202A"/>
          <w:sz w:val="15"/>
          <w:szCs w:val="15"/>
          <w:shd w:fill="86EFAC" w:val="clear"/>
        </w:rPr>
        <w:t xml:space="preserve">CLEAN MATCH  </w:t>
      </w:r>
      <w:r>
        <w:rPr>
          <w:rFonts w:ascii="Liberation Sans" w:cs="Liberation Sans" w:eastAsia="Liberation Sans" w:hAnsi="Liberation Sans"/>
          <w:b/>
          <w:bCs/>
          <w:color w:val="16202A"/>
          <w:sz w:val="19"/>
          <w:szCs w:val="19"/>
        </w:rPr>
        <w:t xml:space="preserve">  Constitution anchor: </w:t>
      </w:r>
      <w:hyperlink w:history="1" r:id="rIdvh523e32gfqzkupzoi_jr">
        <w:r>
          <w:rPr>
            <w:rFonts w:ascii="Liberation Sans" w:cs="Liberation Sans" w:eastAsia="Liberation Sans" w:hAnsi="Liberation Sans"/>
            <w:b/>
            <w:bCs/>
            <w:color w:val="B3272A"/>
            <w:sz w:val="19"/>
            <w:szCs w:val="19"/>
            <w:u w:val="single"/>
          </w:rPr>
          <w:t xml:space="preserve">Section 6, Contributor Expectations.</w:t>
        </w:r>
      </w:hyperlink>
    </w:p>
    <w:p>
      <w:pPr>
        <w:spacing w:after="100"/>
      </w:pPr>
      <w:r>
        <w:rPr>
          <w:rFonts w:ascii="Liberation Sans" w:cs="Liberation Sans" w:eastAsia="Liberation Sans" w:hAnsi="Liberation Sans"/>
          <w:color w:val="5B6670"/>
          <w:sz w:val="19"/>
          <w:szCs w:val="19"/>
        </w:rPr>
        <w:t xml:space="preserve">Tasks and grants must define clear KPIs, a timeline and milestones, and a reward structure. Section 3.2 step 7, Payment + Archive, applies loosely too.</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3. </w:t>
      </w:r>
      <w:r>
        <w:rPr>
          <w:rFonts w:ascii="Liberation Sans" w:cs="Liberation Sans" w:eastAsia="Liberation Sans" w:hAnsi="Liberation Sans"/>
          <w:b/>
          <w:bCs/>
          <w:color w:val="16202A"/>
          <w:sz w:val="26"/>
          <w:szCs w:val="26"/>
        </w:rPr>
        <w:t xml:space="preserve">Strategic Fit</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Alignment with one of the three working groups (Community, Marketing, Developers/Builders).</w:t>
      </w:r>
    </w:p>
    <w:p>
      <w:pPr>
        <w:pStyle w:val="ListParagraph"/>
        <w:numPr>
          <w:ilvl w:val="0"/>
          <w:numId w:val="2"/>
        </w:numPr>
        <w:spacing w:after="60"/>
      </w:pPr>
      <w:r>
        <w:rPr>
          <w:rFonts w:ascii="Liberation Sans" w:cs="Liberation Sans" w:eastAsia="Liberation Sans" w:hAnsi="Liberation Sans"/>
          <w:color w:val="16202A"/>
          <w:sz w:val="21"/>
          <w:szCs w:val="21"/>
        </w:rPr>
        <w:t xml:space="preserve">Clear link to DAO-wide goals (adoption, awareness, infrastructure growth).</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alignment unclear or goals vague.</w:t>
      </w:r>
    </w:p>
    <w:p>
      <w:pPr>
        <w:spacing w:after="20" w:before="140"/>
      </w:pPr>
      <w:r>
        <w:rPr>
          <w:rFonts w:ascii="Liberation Mono" w:cs="Liberation Mono" w:eastAsia="Liberation Mono" w:hAnsi="Liberation Mono"/>
          <w:b/>
          <w:bCs/>
          <w:color w:val="16202A"/>
          <w:sz w:val="15"/>
          <w:szCs w:val="15"/>
          <w:shd w:fill="FCD34D" w:val="clear"/>
        </w:rPr>
        <w:t xml:space="preserve">ANCHOR RETIRED  </w:t>
      </w:r>
      <w:r>
        <w:rPr>
          <w:rFonts w:ascii="Liberation Sans" w:cs="Liberation Sans" w:eastAsia="Liberation Sans" w:hAnsi="Liberation Sans"/>
          <w:b/>
          <w:bCs/>
          <w:color w:val="16202A"/>
          <w:sz w:val="19"/>
          <w:szCs w:val="19"/>
        </w:rPr>
        <w:t xml:space="preserve">  Constitution anchor: </w:t>
      </w:r>
      <w:r>
        <w:rPr>
          <w:rFonts w:ascii="Liberation Sans" w:cs="Liberation Sans" w:eastAsia="Liberation Sans" w:hAnsi="Liberation Sans"/>
          <w:b/>
          <w:bCs/>
          <w:color w:val="B3272A"/>
          <w:sz w:val="19"/>
          <w:szCs w:val="19"/>
        </w:rPr>
        <w:t xml:space="preserve">No Constitution anchor.</w:t>
      </w:r>
    </w:p>
    <w:p>
      <w:pPr>
        <w:spacing w:after="100"/>
      </w:pPr>
      <w:r>
        <w:rPr>
          <w:rFonts w:ascii="Liberation Sans" w:cs="Liberation Sans" w:eastAsia="Liberation Sans" w:hAnsi="Liberation Sans"/>
          <w:color w:val="5B6670"/>
          <w:sz w:val="19"/>
          <w:szCs w:val="19"/>
        </w:rPr>
        <w:t xml:space="preserve">The ratified checklist names three working groups. Constitution v1.2 named five pods for this. The DAO Guild Structure Consolidation vote, passed 20 September 2025, merged two of those five into the other three. Constitution v1.3 then removed the pod structure from the Constitution entirely. The three groups the checklist names are still the ones in practice; nothing in the current Constitution defines or anchors them. See Known Discrepancies, item 1.</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4. </w:t>
      </w:r>
      <w:r>
        <w:rPr>
          <w:rFonts w:ascii="Liberation Sans" w:cs="Liberation Sans" w:eastAsia="Liberation Sans" w:hAnsi="Liberation Sans"/>
          <w:b/>
          <w:bCs/>
          <w:color w:val="16202A"/>
          <w:sz w:val="26"/>
          <w:szCs w:val="26"/>
        </w:rPr>
        <w:t xml:space="preserve">Feasibility &amp; Timeline</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Timeline with milestones/deliverables provided.</w:t>
      </w:r>
    </w:p>
    <w:p>
      <w:pPr>
        <w:pStyle w:val="ListParagraph"/>
        <w:numPr>
          <w:ilvl w:val="0"/>
          <w:numId w:val="2"/>
        </w:numPr>
        <w:spacing w:after="60"/>
      </w:pPr>
      <w:r>
        <w:rPr>
          <w:rFonts w:ascii="Liberation Sans" w:cs="Liberation Sans" w:eastAsia="Liberation Sans" w:hAnsi="Liberation Sans"/>
          <w:color w:val="16202A"/>
          <w:sz w:val="21"/>
          <w:szCs w:val="21"/>
        </w:rPr>
        <w:t xml:space="preserve">Scope achievable with proposed budget/resources.</w:t>
      </w:r>
    </w:p>
    <w:p>
      <w:pPr>
        <w:pStyle w:val="ListParagraph"/>
        <w:numPr>
          <w:ilvl w:val="0"/>
          <w:numId w:val="2"/>
        </w:numPr>
        <w:spacing w:after="60"/>
      </w:pPr>
      <w:r>
        <w:rPr>
          <w:rFonts w:ascii="Liberation Sans" w:cs="Liberation Sans" w:eastAsia="Liberation Sans" w:hAnsi="Liberation Sans"/>
          <w:color w:val="16202A"/>
          <w:sz w:val="21"/>
          <w:szCs w:val="21"/>
        </w:rPr>
        <w:t xml:space="preserve">No duplication of existing efforts.</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timeline absent, milestones vague, or scope unrealistic.</w:t>
      </w:r>
    </w:p>
    <w:p>
      <w:pPr>
        <w:spacing w:after="20" w:before="140"/>
      </w:pPr>
      <w:r>
        <w:rPr>
          <w:rFonts w:ascii="Liberation Mono" w:cs="Liberation Mono" w:eastAsia="Liberation Mono" w:hAnsi="Liberation Mono"/>
          <w:b/>
          <w:bCs/>
          <w:color w:val="FFFFFF"/>
          <w:sz w:val="15"/>
          <w:szCs w:val="15"/>
          <w:shd w:fill="5B6670" w:val="clear"/>
        </w:rPr>
        <w:t xml:space="preserve">NO CLEAN ANCHOR  </w:t>
      </w:r>
      <w:r>
        <w:rPr>
          <w:rFonts w:ascii="Liberation Sans" w:cs="Liberation Sans" w:eastAsia="Liberation Sans" w:hAnsi="Liberation Sans"/>
          <w:b/>
          <w:bCs/>
          <w:color w:val="16202A"/>
          <w:sz w:val="19"/>
          <w:szCs w:val="19"/>
        </w:rPr>
        <w:t xml:space="preserve">  Constitution anchor: </w:t>
      </w:r>
      <w:r>
        <w:rPr>
          <w:rFonts w:ascii="Liberation Sans" w:cs="Liberation Sans" w:eastAsia="Liberation Sans" w:hAnsi="Liberation Sans"/>
          <w:b/>
          <w:bCs/>
          <w:color w:val="B3272A"/>
          <w:sz w:val="19"/>
          <w:szCs w:val="19"/>
        </w:rPr>
        <w:t xml:space="preserve">No Constitution section sets a feasibility standard.</w:t>
      </w:r>
    </w:p>
    <w:p>
      <w:pPr>
        <w:spacing w:after="100"/>
      </w:pPr>
      <w:r>
        <w:rPr>
          <w:rFonts w:ascii="Liberation Sans" w:cs="Liberation Sans" w:eastAsia="Liberation Sans" w:hAnsi="Liberation Sans"/>
          <w:color w:val="5B6670"/>
          <w:sz w:val="19"/>
          <w:szCs w:val="19"/>
        </w:rPr>
        <w:t xml:space="preserve">Section 3.2, Process Overview, describes the review pipeline, not a feasibility test. This criterion stays a reviewer judgment call, not a text lookup.</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5. </w:t>
      </w:r>
      <w:r>
        <w:rPr>
          <w:rFonts w:ascii="Liberation Sans" w:cs="Liberation Sans" w:eastAsia="Liberation Sans" w:hAnsi="Liberation Sans"/>
          <w:b/>
          <w:bCs/>
          <w:color w:val="16202A"/>
          <w:sz w:val="26"/>
          <w:szCs w:val="26"/>
        </w:rPr>
        <w:t xml:space="preserve">Oversight &amp; Accountability</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Independent reviewer/oversight lead nominated.</w:t>
      </w:r>
    </w:p>
    <w:p>
      <w:pPr>
        <w:pStyle w:val="ListParagraph"/>
        <w:numPr>
          <w:ilvl w:val="0"/>
          <w:numId w:val="2"/>
        </w:numPr>
        <w:spacing w:after="60"/>
      </w:pPr>
      <w:r>
        <w:rPr>
          <w:rFonts w:ascii="Liberation Sans" w:cs="Liberation Sans" w:eastAsia="Liberation Sans" w:hAnsi="Liberation Sans"/>
          <w:color w:val="16202A"/>
          <w:sz w:val="21"/>
          <w:szCs w:val="21"/>
        </w:rPr>
        <w:t xml:space="preserve">Monthly updates planned in DAO channels.</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oversight or communication plan missing.</w:t>
      </w:r>
    </w:p>
    <w:p>
      <w:pPr>
        <w:spacing w:after="20" w:before="140"/>
      </w:pPr>
      <w:r>
        <w:rPr>
          <w:rFonts w:ascii="Liberation Mono" w:cs="Liberation Mono" w:eastAsia="Liberation Mono" w:hAnsi="Liberation Mono"/>
          <w:b/>
          <w:bCs/>
          <w:color w:val="16202A"/>
          <w:sz w:val="15"/>
          <w:szCs w:val="15"/>
          <w:shd w:fill="86EFAC" w:val="clear"/>
        </w:rPr>
        <w:t xml:space="preserve">CLEAN MATCH  </w:t>
      </w:r>
      <w:r>
        <w:rPr>
          <w:rFonts w:ascii="Liberation Sans" w:cs="Liberation Sans" w:eastAsia="Liberation Sans" w:hAnsi="Liberation Sans"/>
          <w:b/>
          <w:bCs/>
          <w:color w:val="16202A"/>
          <w:sz w:val="19"/>
          <w:szCs w:val="19"/>
        </w:rPr>
        <w:t xml:space="preserve">  Constitution anchor: </w:t>
      </w:r>
      <w:hyperlink w:history="1" r:id="rIdsxqtcv9vzkgeqzcxbkvrg">
        <w:r>
          <w:rPr>
            <w:rFonts w:ascii="Liberation Sans" w:cs="Liberation Sans" w:eastAsia="Liberation Sans" w:hAnsi="Liberation Sans"/>
            <w:b/>
            <w:bCs/>
            <w:color w:val="B3272A"/>
            <w:sz w:val="19"/>
            <w:szCs w:val="19"/>
            <w:u w:val="single"/>
          </w:rPr>
          <w:t xml:space="preserve">Section 5.6, Transparency and Accountability.</w:t>
        </w:r>
      </w:hyperlink>
    </w:p>
    <w:p>
      <w:pPr>
        <w:spacing w:after="100"/>
      </w:pPr>
      <w:r>
        <w:rPr>
          <w:rFonts w:ascii="Liberation Sans" w:cs="Liberation Sans" w:eastAsia="Liberation Sans" w:hAnsi="Liberation Sans"/>
          <w:color w:val="5B6670"/>
          <w:sz w:val="19"/>
          <w:szCs w:val="19"/>
        </w:rPr>
        <w:t xml:space="preserve">Monthly treasury and revenue dashboards, quarterly reporting required by each working group. Section 7's weekly and monthly governance calls, with notes published publicly, add further support.</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6. </w:t>
      </w:r>
      <w:r>
        <w:rPr>
          <w:rFonts w:ascii="Liberation Sans" w:cs="Liberation Sans" w:eastAsia="Liberation Sans" w:hAnsi="Liberation Sans"/>
          <w:b/>
          <w:bCs/>
          <w:color w:val="16202A"/>
          <w:sz w:val="26"/>
          <w:szCs w:val="26"/>
        </w:rPr>
        <w:t xml:space="preserve">Impact &amp; Measurement</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KPIs or measurable success criteria included.</w:t>
      </w:r>
    </w:p>
    <w:p>
      <w:pPr>
        <w:pStyle w:val="ListParagraph"/>
        <w:numPr>
          <w:ilvl w:val="0"/>
          <w:numId w:val="2"/>
        </w:numPr>
        <w:spacing w:after="60"/>
      </w:pPr>
      <w:r>
        <w:rPr>
          <w:rFonts w:ascii="Liberation Sans" w:cs="Liberation Sans" w:eastAsia="Liberation Sans" w:hAnsi="Liberation Sans"/>
          <w:color w:val="16202A"/>
          <w:sz w:val="21"/>
          <w:szCs w:val="21"/>
        </w:rPr>
        <w:t xml:space="preserve">Midpoint and final review methods defined.</w:t>
      </w:r>
    </w:p>
    <w:p>
      <w:pPr>
        <w:pStyle w:val="ListParagraph"/>
        <w:numPr>
          <w:ilvl w:val="0"/>
          <w:numId w:val="2"/>
        </w:numPr>
        <w:spacing w:after="60"/>
      </w:pPr>
      <w:r>
        <w:rPr>
          <w:rFonts w:ascii="Liberation Sans" w:cs="Liberation Sans" w:eastAsia="Liberation Sans" w:hAnsi="Liberation Sans"/>
          <w:color w:val="16202A"/>
          <w:sz w:val="21"/>
          <w:szCs w:val="21"/>
        </w:rPr>
        <w:t xml:space="preserve">Long-term/community value identified.</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no success criteria or only short-term focus.</w:t>
      </w:r>
    </w:p>
    <w:p>
      <w:pPr>
        <w:spacing w:after="20" w:before="140"/>
      </w:pPr>
      <w:r>
        <w:rPr>
          <w:rFonts w:ascii="Liberation Mono" w:cs="Liberation Mono" w:eastAsia="Liberation Mono" w:hAnsi="Liberation Mono"/>
          <w:b/>
          <w:bCs/>
          <w:color w:val="FFFFFF"/>
          <w:sz w:val="15"/>
          <w:szCs w:val="15"/>
          <w:shd w:fill="5B6670" w:val="clear"/>
        </w:rPr>
        <w:t xml:space="preserve">NO CLEAN ANCHOR  </w:t>
      </w:r>
      <w:r>
        <w:rPr>
          <w:rFonts w:ascii="Liberation Sans" w:cs="Liberation Sans" w:eastAsia="Liberation Sans" w:hAnsi="Liberation Sans"/>
          <w:b/>
          <w:bCs/>
          <w:color w:val="16202A"/>
          <w:sz w:val="19"/>
          <w:szCs w:val="19"/>
        </w:rPr>
        <w:t xml:space="preserve">  Constitution anchor: </w:t>
      </w:r>
      <w:r>
        <w:rPr>
          <w:rFonts w:ascii="Liberation Sans" w:cs="Liberation Sans" w:eastAsia="Liberation Sans" w:hAnsi="Liberation Sans"/>
          <w:b/>
          <w:bCs/>
          <w:color w:val="B3272A"/>
          <w:sz w:val="19"/>
          <w:szCs w:val="19"/>
        </w:rPr>
        <w:t xml:space="preserve">No Constitution section sets a KPI or review-cadence standard.</w:t>
      </w:r>
    </w:p>
    <w:p>
      <w:pPr>
        <w:spacing w:after="100"/>
      </w:pPr>
      <w:r>
        <w:rPr>
          <w:rFonts w:ascii="Liberation Sans" w:cs="Liberation Sans" w:eastAsia="Liberation Sans" w:hAnsi="Liberation Sans"/>
          <w:color w:val="5B6670"/>
          <w:sz w:val="19"/>
          <w:szCs w:val="19"/>
        </w:rPr>
        <w:t xml:space="preserve">Section 5.6 covers DAO-level treasury reporting. That is not the same as project-level success metrics on one proposal, so it is not treated as a match here.</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7. </w:t>
      </w:r>
      <w:r>
        <w:rPr>
          <w:rFonts w:ascii="Liberation Sans" w:cs="Liberation Sans" w:eastAsia="Liberation Sans" w:hAnsi="Liberation Sans"/>
          <w:b/>
          <w:bCs/>
          <w:color w:val="16202A"/>
          <w:sz w:val="26"/>
          <w:szCs w:val="26"/>
        </w:rPr>
        <w:t xml:space="preserve">Risk &amp; Mitigation</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Key risks identified.</w:t>
      </w:r>
    </w:p>
    <w:p>
      <w:pPr>
        <w:pStyle w:val="ListParagraph"/>
        <w:numPr>
          <w:ilvl w:val="0"/>
          <w:numId w:val="2"/>
        </w:numPr>
        <w:spacing w:after="60"/>
      </w:pPr>
      <w:r>
        <w:rPr>
          <w:rFonts w:ascii="Liberation Sans" w:cs="Liberation Sans" w:eastAsia="Liberation Sans" w:hAnsi="Liberation Sans"/>
          <w:color w:val="16202A"/>
          <w:sz w:val="21"/>
          <w:szCs w:val="21"/>
        </w:rPr>
        <w:t xml:space="preserve">Mitigation strategies outlined.</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no risks or mitigation described.</w:t>
      </w:r>
    </w:p>
    <w:p>
      <w:pPr>
        <w:spacing w:after="20" w:before="140"/>
      </w:pPr>
      <w:r>
        <w:rPr>
          <w:rFonts w:ascii="Liberation Mono" w:cs="Liberation Mono" w:eastAsia="Liberation Mono" w:hAnsi="Liberation Mono"/>
          <w:b/>
          <w:bCs/>
          <w:color w:val="FFFFFF"/>
          <w:sz w:val="15"/>
          <w:szCs w:val="15"/>
          <w:shd w:fill="5B6670" w:val="clear"/>
        </w:rPr>
        <w:t xml:space="preserve">NO CLEAN ANCHOR  </w:t>
      </w:r>
      <w:r>
        <w:rPr>
          <w:rFonts w:ascii="Liberation Sans" w:cs="Liberation Sans" w:eastAsia="Liberation Sans" w:hAnsi="Liberation Sans"/>
          <w:b/>
          <w:bCs/>
          <w:color w:val="16202A"/>
          <w:sz w:val="19"/>
          <w:szCs w:val="19"/>
        </w:rPr>
        <w:t xml:space="preserve">  Constitution anchor: </w:t>
      </w:r>
      <w:r>
        <w:rPr>
          <w:rFonts w:ascii="Liberation Sans" w:cs="Liberation Sans" w:eastAsia="Liberation Sans" w:hAnsi="Liberation Sans"/>
          <w:b/>
          <w:bCs/>
          <w:color w:val="B3272A"/>
          <w:sz w:val="19"/>
          <w:szCs w:val="19"/>
        </w:rPr>
        <w:t xml:space="preserve">The Constitution does not require a risk section on proposals.</w:t>
      </w:r>
    </w:p>
    <w:p>
      <w:pPr>
        <w:spacing w:after="100"/>
      </w:pPr>
      <w:r>
        <w:rPr>
          <w:rFonts w:ascii="Liberation Sans" w:cs="Liberation Sans" w:eastAsia="Liberation Sans" w:hAnsi="Liberation Sans"/>
          <w:color w:val="5B6670"/>
          <w:sz w:val="19"/>
          <w:szCs w:val="19"/>
        </w:rPr>
        <w:t xml:space="preserve">No section addresses risk disclosure or mitigation planning at the individual-proposal level.</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8. </w:t>
      </w:r>
      <w:r>
        <w:rPr>
          <w:rFonts w:ascii="Liberation Sans" w:cs="Liberation Sans" w:eastAsia="Liberation Sans" w:hAnsi="Liberation Sans"/>
          <w:b/>
          <w:bCs/>
          <w:color w:val="16202A"/>
          <w:sz w:val="26"/>
          <w:szCs w:val="26"/>
        </w:rPr>
        <w:t xml:space="preserve">Co-Funding &amp; Leverage</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Matching funds, sponsorships, or in-kind contributions noted.</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no leverage (not a dealbreaker, but relevant).</w:t>
      </w:r>
    </w:p>
    <w:p>
      <w:pPr>
        <w:spacing w:after="20" w:before="140"/>
      </w:pPr>
      <w:r>
        <w:rPr>
          <w:rFonts w:ascii="Liberation Mono" w:cs="Liberation Mono" w:eastAsia="Liberation Mono" w:hAnsi="Liberation Mono"/>
          <w:b/>
          <w:bCs/>
          <w:color w:val="FFFFFF"/>
          <w:sz w:val="15"/>
          <w:szCs w:val="15"/>
          <w:shd w:fill="5B6670" w:val="clear"/>
        </w:rPr>
        <w:t xml:space="preserve">NO CLEAN ANCHOR  </w:t>
      </w:r>
      <w:r>
        <w:rPr>
          <w:rFonts w:ascii="Liberation Sans" w:cs="Liberation Sans" w:eastAsia="Liberation Sans" w:hAnsi="Liberation Sans"/>
          <w:b/>
          <w:bCs/>
          <w:color w:val="16202A"/>
          <w:sz w:val="19"/>
          <w:szCs w:val="19"/>
        </w:rPr>
        <w:t xml:space="preserve">  Constitution anchor: </w:t>
      </w:r>
      <w:r>
        <w:rPr>
          <w:rFonts w:ascii="Liberation Sans" w:cs="Liberation Sans" w:eastAsia="Liberation Sans" w:hAnsi="Liberation Sans"/>
          <w:b/>
          <w:bCs/>
          <w:color w:val="B3272A"/>
          <w:sz w:val="19"/>
          <w:szCs w:val="19"/>
        </w:rPr>
        <w:t xml:space="preserve">Co-funding is not addressed anywhere in the Constitution.</w:t>
      </w:r>
    </w:p>
    <w:p>
      <w:pPr>
        <w:spacing w:after="100"/>
      </w:pPr>
      <w:r>
        <w:rPr>
          <w:rFonts w:ascii="Liberation Sans" w:cs="Liberation Sans" w:eastAsia="Liberation Sans" w:hAnsi="Liberation Sans"/>
          <w:color w:val="5B6670"/>
          <w:sz w:val="19"/>
          <w:szCs w:val="19"/>
        </w:rPr>
        <w:t xml:space="preserve">Treat this criterion as a reviewer note, not a constitutional test.</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9. </w:t>
      </w:r>
      <w:r>
        <w:rPr>
          <w:rFonts w:ascii="Liberation Sans" w:cs="Liberation Sans" w:eastAsia="Liberation Sans" w:hAnsi="Liberation Sans"/>
          <w:b/>
          <w:bCs/>
          <w:color w:val="16202A"/>
          <w:sz w:val="26"/>
          <w:szCs w:val="26"/>
        </w:rPr>
        <w:t xml:space="preserve">Contribution Equity</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No single contributor dominating payouts.</w:t>
      </w:r>
    </w:p>
    <w:p>
      <w:pPr>
        <w:pStyle w:val="ListParagraph"/>
        <w:numPr>
          <w:ilvl w:val="0"/>
          <w:numId w:val="2"/>
        </w:numPr>
        <w:spacing w:after="60"/>
      </w:pPr>
      <w:r>
        <w:rPr>
          <w:rFonts w:ascii="Liberation Sans" w:cs="Liberation Sans" w:eastAsia="Liberation Sans" w:hAnsi="Liberation Sans"/>
          <w:color w:val="16202A"/>
          <w:sz w:val="21"/>
          <w:szCs w:val="21"/>
        </w:rPr>
        <w:t xml:space="preserve">Proposer not holding multiple paid lead roles without justification.</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payouts concentrated with same individual(s).</w:t>
      </w:r>
    </w:p>
    <w:p>
      <w:pPr>
        <w:spacing w:after="20" w:before="140"/>
      </w:pPr>
      <w:r>
        <w:rPr>
          <w:rFonts w:ascii="Liberation Mono" w:cs="Liberation Mono" w:eastAsia="Liberation Mono" w:hAnsi="Liberation Mono"/>
          <w:b/>
          <w:bCs/>
          <w:color w:val="16202A"/>
          <w:sz w:val="15"/>
          <w:szCs w:val="15"/>
          <w:shd w:fill="86EFAC" w:val="clear"/>
        </w:rPr>
        <w:t xml:space="preserve">CLEAN MATCH  </w:t>
      </w:r>
      <w:r>
        <w:rPr>
          <w:rFonts w:ascii="Liberation Sans" w:cs="Liberation Sans" w:eastAsia="Liberation Sans" w:hAnsi="Liberation Sans"/>
          <w:b/>
          <w:bCs/>
          <w:color w:val="16202A"/>
          <w:sz w:val="19"/>
          <w:szCs w:val="19"/>
        </w:rPr>
        <w:t xml:space="preserve">  Constitution anchor: </w:t>
      </w:r>
      <w:hyperlink w:history="1" r:id="rIdga1uoykgjsv3vln5p_pti">
        <w:r>
          <w:rPr>
            <w:rFonts w:ascii="Liberation Sans" w:cs="Liberation Sans" w:eastAsia="Liberation Sans" w:hAnsi="Liberation Sans"/>
            <w:b/>
            <w:bCs/>
            <w:color w:val="B3272A"/>
            <w:sz w:val="19"/>
            <w:szCs w:val="19"/>
            <w:u w:val="single"/>
          </w:rPr>
          <w:t xml:space="preserve">Section 4, Conflict of Interest Policy.</w:t>
        </w:r>
      </w:hyperlink>
    </w:p>
    <w:p>
      <w:pPr>
        <w:spacing w:after="100"/>
      </w:pPr>
      <w:r>
        <w:rPr>
          <w:rFonts w:ascii="Liberation Sans" w:cs="Liberation Sans" w:eastAsia="Liberation Sans" w:hAnsi="Liberation Sans"/>
          <w:color w:val="5B6670"/>
          <w:sz w:val="19"/>
          <w:szCs w:val="19"/>
        </w:rPr>
        <w:t xml:space="preserve">“One paid role per individual per quarter” maps directly to this criterion's payout-concentration test.</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10. </w:t>
      </w:r>
      <w:r>
        <w:rPr>
          <w:rFonts w:ascii="Liberation Sans" w:cs="Liberation Sans" w:eastAsia="Liberation Sans" w:hAnsi="Liberation Sans"/>
          <w:b/>
          <w:bCs/>
          <w:color w:val="16202A"/>
          <w:sz w:val="26"/>
          <w:szCs w:val="26"/>
        </w:rPr>
        <w:t xml:space="preserve">Compliance &amp; Ethical Standards</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No regulatory/reputational risks.</w:t>
      </w:r>
    </w:p>
    <w:p>
      <w:pPr>
        <w:pStyle w:val="ListParagraph"/>
        <w:numPr>
          <w:ilvl w:val="0"/>
          <w:numId w:val="2"/>
        </w:numPr>
        <w:spacing w:after="60"/>
      </w:pPr>
      <w:r>
        <w:rPr>
          <w:rFonts w:ascii="Liberation Sans" w:cs="Liberation Sans" w:eastAsia="Liberation Sans" w:hAnsi="Liberation Sans"/>
          <w:color w:val="16202A"/>
          <w:sz w:val="21"/>
          <w:szCs w:val="21"/>
        </w:rPr>
        <w:t xml:space="preserve">Consistency with DAO's code of conduct.</w:t>
      </w:r>
    </w:p>
    <w:p>
      <w:pPr>
        <w:spacing w:after="40" w:before="120"/>
      </w:pPr>
      <w:r>
        <w:rPr>
          <w:rFonts w:ascii="Liberation Mono" w:cs="Liberation Mono" w:eastAsia="Liberation Mono" w:hAnsi="Liberation Mono"/>
          <w:b/>
          <w:bCs/>
          <w:color w:val="B4890A"/>
          <w:sz w:val="17"/>
          <w:szCs w:val="17"/>
        </w:rPr>
        <w:t xml:space="preserve">FLAG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Flag if unclear or non-compliant activities proposed.</w:t>
      </w:r>
    </w:p>
    <w:p>
      <w:pPr>
        <w:spacing w:after="20" w:before="140"/>
      </w:pPr>
      <w:r>
        <w:rPr>
          <w:rFonts w:ascii="Liberation Mono" w:cs="Liberation Mono" w:eastAsia="Liberation Mono" w:hAnsi="Liberation Mono"/>
          <w:b/>
          <w:bCs/>
          <w:color w:val="16202A"/>
          <w:sz w:val="15"/>
          <w:szCs w:val="15"/>
          <w:shd w:fill="86EFAC" w:val="clear"/>
        </w:rPr>
        <w:t xml:space="preserve">PRIMARY ANCHOR  </w:t>
      </w:r>
      <w:r>
        <w:rPr>
          <w:rFonts w:ascii="Liberation Sans" w:cs="Liberation Sans" w:eastAsia="Liberation Sans" w:hAnsi="Liberation Sans"/>
          <w:b/>
          <w:bCs/>
          <w:color w:val="16202A"/>
          <w:sz w:val="19"/>
          <w:szCs w:val="19"/>
        </w:rPr>
        <w:t xml:space="preserve">  Constitution anchor: </w:t>
      </w:r>
      <w:hyperlink w:history="1" r:id="rIdueccoih6npcwiwlz2loil">
        <w:r>
          <w:rPr>
            <w:rFonts w:ascii="Liberation Sans" w:cs="Liberation Sans" w:eastAsia="Liberation Sans" w:hAnsi="Liberation Sans"/>
            <w:b/>
            <w:bCs/>
            <w:color w:val="B3272A"/>
            <w:sz w:val="19"/>
            <w:szCs w:val="19"/>
            <w:u w:val="single"/>
          </w:rPr>
          <w:t xml:space="preserve">Code of Conduct v1.0 (Core Principles, Expected/Unacceptable Behaviors, Enforcement).</w:t>
        </w:r>
      </w:hyperlink>
    </w:p>
    <w:p>
      <w:pPr>
        <w:spacing w:after="100"/>
      </w:pPr>
      <w:r>
        <w:rPr>
          <w:rFonts w:ascii="Liberation Sans" w:cs="Liberation Sans" w:eastAsia="Liberation Sans" w:hAnsi="Liberation Sans"/>
          <w:color w:val="5B6670"/>
          <w:sz w:val="19"/>
          <w:szCs w:val="19"/>
        </w:rPr>
        <w:t xml:space="preserve">Constitution Section 4 applies loosely as a conflict-of-interest-adjacent backstop, but the Code of Conduct is the direct source for this criterion.</w:t>
      </w:r>
    </w:p>
    <w:p>
      <w:pPr>
        <w:pBdr>
          <w:bottom w:val="single" w:color="D8DCDF" w:sz="6" w:space="1"/>
        </w:pBdr>
        <w:spacing w:after="200" w:before="200"/>
      </w:pPr>
    </w:p>
    <w:p>
      <w:pPr>
        <w:pStyle w:val="Heading1"/>
        <w:spacing w:after="120" w:before="280"/>
      </w:pPr>
      <w:r>
        <w:rPr>
          <w:rFonts w:ascii="Liberation Mono" w:cs="Liberation Mono" w:eastAsia="Liberation Mono" w:hAnsi="Liberation Mono"/>
          <w:b/>
          <w:bCs/>
          <w:color w:val="B3272A"/>
          <w:sz w:val="26"/>
          <w:szCs w:val="26"/>
        </w:rPr>
        <w:t xml:space="preserve">11. </w:t>
      </w:r>
      <w:r>
        <w:rPr>
          <w:rFonts w:ascii="Liberation Sans" w:cs="Liberation Sans" w:eastAsia="Liberation Sans" w:hAnsi="Liberation Sans"/>
          <w:b/>
          <w:bCs/>
          <w:color w:val="16202A"/>
          <w:sz w:val="26"/>
          <w:szCs w:val="26"/>
        </w:rPr>
        <w:t xml:space="preserve">Community Involvement</w:t>
      </w:r>
    </w:p>
    <w:p>
      <w:pPr>
        <w:spacing w:after="40"/>
      </w:pPr>
      <w:r>
        <w:rPr>
          <w:rFonts w:ascii="Liberation Mono" w:cs="Liberation Mono" w:eastAsia="Liberation Mono" w:hAnsi="Liberation Mono"/>
          <w:b/>
          <w:bCs/>
          <w:color w:val="1F9D5A"/>
          <w:sz w:val="17"/>
          <w:szCs w:val="17"/>
        </w:rPr>
        <w:t xml:space="preserve">PASS WHEN</w:t>
      </w:r>
    </w:p>
    <w:p>
      <w:pPr>
        <w:pStyle w:val="ListParagraph"/>
        <w:numPr>
          <w:ilvl w:val="0"/>
          <w:numId w:val="2"/>
        </w:numPr>
        <w:spacing w:after="60"/>
      </w:pPr>
      <w:r>
        <w:rPr>
          <w:rFonts w:ascii="Liberation Sans" w:cs="Liberation Sans" w:eastAsia="Liberation Sans" w:hAnsi="Liberation Sans"/>
          <w:color w:val="16202A"/>
          <w:sz w:val="21"/>
          <w:szCs w:val="21"/>
        </w:rPr>
        <w:t xml:space="preserve">Evidence of discussion with community members.</w:t>
      </w:r>
    </w:p>
    <w:p>
      <w:pPr>
        <w:spacing w:after="40" w:before="120"/>
      </w:pPr>
      <w:r>
        <w:rPr>
          <w:rFonts w:ascii="Liberation Mono" w:cs="Liberation Mono" w:eastAsia="Liberation Mono" w:hAnsi="Liberation Mono"/>
          <w:b/>
          <w:bCs/>
          <w:color w:val="B4890A"/>
          <w:sz w:val="17"/>
          <w:szCs w:val="17"/>
        </w:rPr>
        <w:t xml:space="preserve">FLAG WHEN</w:t>
      </w:r>
    </w:p>
    <w:p>
      <w:pPr>
        <w:spacing w:after="60"/>
      </w:pPr>
      <w:r>
        <w:rPr>
          <w:rFonts w:ascii="Liberation Sans" w:cs="Liberation Sans" w:eastAsia="Liberation Sans" w:hAnsi="Liberation Sans"/>
          <w:i/>
          <w:iCs/>
          <w:color w:val="5B6670"/>
          <w:sz w:val="21"/>
          <w:szCs w:val="21"/>
        </w:rPr>
        <w:t xml:space="preserve">No flag condition given in the ratified text. This is the only criterion of the 11 without one. See Known Discrepancies, item 2.</w:t>
      </w:r>
    </w:p>
    <w:p>
      <w:pPr>
        <w:spacing w:after="20" w:before="140"/>
      </w:pPr>
      <w:r>
        <w:rPr>
          <w:rFonts w:ascii="Liberation Mono" w:cs="Liberation Mono" w:eastAsia="Liberation Mono" w:hAnsi="Liberation Mono"/>
          <w:b/>
          <w:bCs/>
          <w:color w:val="16202A"/>
          <w:sz w:val="15"/>
          <w:szCs w:val="15"/>
          <w:shd w:fill="86EFAC" w:val="clear"/>
        </w:rPr>
        <w:t xml:space="preserve">CLEAN MATCH  </w:t>
      </w:r>
      <w:r>
        <w:rPr>
          <w:rFonts w:ascii="Liberation Sans" w:cs="Liberation Sans" w:eastAsia="Liberation Sans" w:hAnsi="Liberation Sans"/>
          <w:b/>
          <w:bCs/>
          <w:color w:val="16202A"/>
          <w:sz w:val="19"/>
          <w:szCs w:val="19"/>
        </w:rPr>
        <w:t xml:space="preserve">  Constitution anchor: </w:t>
      </w:r>
      <w:hyperlink w:history="1" r:id="rIdlncz9yfcdy08xmqwrnwfu">
        <w:r>
          <w:rPr>
            <w:rFonts w:ascii="Liberation Sans" w:cs="Liberation Sans" w:eastAsia="Liberation Sans" w:hAnsi="Liberation Sans"/>
            <w:b/>
            <w:bCs/>
            <w:color w:val="B3272A"/>
            <w:sz w:val="19"/>
            <w:szCs w:val="19"/>
            <w:u w:val="single"/>
          </w:rPr>
          <w:t xml:space="preserve">Section 7, Community Involvement.</w:t>
        </w:r>
      </w:hyperlink>
    </w:p>
    <w:p>
      <w:pPr>
        <w:spacing w:after="100"/>
      </w:pPr>
      <w:r>
        <w:rPr>
          <w:rFonts w:ascii="Liberation Sans" w:cs="Liberation Sans" w:eastAsia="Liberation Sans" w:hAnsi="Liberation Sans"/>
          <w:color w:val="5B6670"/>
          <w:sz w:val="19"/>
          <w:szCs w:val="19"/>
        </w:rPr>
        <w:t xml:space="preserve">Section 3.2 step 3, Feedback via Discord with a 3-day window, is the process this criterion checks for evidence of.</w:t>
      </w:r>
    </w:p>
    <w:p>
      <w:pPr>
        <w:pBdr>
          <w:bottom w:val="single" w:color="D8DCDF" w:sz="6" w:space="1"/>
        </w:pBdr>
        <w:spacing w:after="200" w:before="200"/>
      </w:pPr>
    </w:p>
    <w:p>
      <w:pPr>
        <w:pStyle w:val="Heading1"/>
        <w:spacing w:after="140" w:before="200"/>
      </w:pPr>
      <w:r>
        <w:rPr>
          <w:rFonts w:ascii="Liberation Sans" w:cs="Liberation Sans" w:eastAsia="Liberation Sans" w:hAnsi="Liberation Sans"/>
          <w:b/>
          <w:bCs/>
          <w:color w:val="16202A"/>
          <w:sz w:val="26"/>
          <w:szCs w:val="26"/>
        </w:rPr>
        <w:t xml:space="preserve">Known Discrepancies</w:t>
      </w:r>
    </w:p>
    <w:p>
      <w:pPr>
        <w:spacing w:after="40"/>
      </w:pPr>
      <w:r>
        <w:rPr>
          <w:rFonts w:ascii="Liberation Sans" w:cs="Liberation Sans" w:eastAsia="Liberation Sans" w:hAnsi="Liberation Sans"/>
          <w:b/>
          <w:bCs/>
          <w:color w:val="16202A"/>
          <w:sz w:val="20"/>
          <w:szCs w:val="20"/>
        </w:rPr>
        <w:t xml:space="preserve">1. Three working groups, five pods, then none. </w:t>
      </w:r>
      <w:r>
        <w:rPr>
          <w:rFonts w:ascii="Liberation Sans" w:cs="Liberation Sans" w:eastAsia="Liberation Sans" w:hAnsi="Liberation Sans"/>
          <w:color w:val="16202A"/>
          <w:sz w:val="19"/>
          <w:szCs w:val="19"/>
        </w:rPr>
        <w:t xml:space="preserve">Criterion 3 (Strategic Fit) checks alignment with “one of the three working groups (Community, Marketing, Developers/Builders).” Constitution v1.2 ratified five pods for this: Marketing, Builder/Develop, Researcher, Community, Partnerships. The DAO Guild Structure Consolidation vote, passed 20 September 2025, about 3 hours after v1.2 itself, merged Partnerships and Research into the other three, leaving the same three the checklist names. Constitution v1.3 then removed the pod structure section outright; no section defines working groups or pods anymore. Pre-screening still checks alignment against the three named groups, since that is the ratified checklist text; it just has no Constitution section left to cite.</w:t>
      </w:r>
    </w:p>
    <w:p>
      <w:pPr>
        <w:spacing w:after="40"/>
      </w:pPr>
      <w:r>
        <w:rPr>
          <w:rFonts w:ascii="Liberation Sans" w:cs="Liberation Sans" w:eastAsia="Liberation Sans" w:hAnsi="Liberation Sans"/>
          <w:b/>
          <w:bCs/>
          <w:color w:val="16202A"/>
          <w:sz w:val="20"/>
          <w:szCs w:val="20"/>
        </w:rPr>
        <w:t xml:space="preserve">2. Criterion 11 has no flag condition. </w:t>
      </w:r>
      <w:r>
        <w:rPr>
          <w:rFonts w:ascii="Liberation Sans" w:cs="Liberation Sans" w:eastAsia="Liberation Sans" w:hAnsi="Liberation Sans"/>
          <w:color w:val="16202A"/>
          <w:sz w:val="19"/>
          <w:szCs w:val="19"/>
        </w:rPr>
        <w:t xml:space="preserve">Every other criterion (1 through 10) pairs its pass condition with an explicit “Flag if…” line. Criterion 11 (Community Involvement) ends after “Evidence of discussion with community members.” This was checked against the full ratified text; it is not a capture gap. Until pod leaders add a flag condition, this criterion cannot fail a proposal on its own, and the pre-screening flow treats it as informational only.</w:t>
      </w:r>
    </w:p>
    <w:p>
      <w:pPr>
        <w:pBdr>
          <w:bottom w:val="single" w:color="D8DCDF" w:sz="6" w:space="1"/>
        </w:pBdr>
        <w:spacing w:after="200" w:before="200"/>
      </w:pPr>
    </w:p>
    <w:p>
      <w:pPr>
        <w:spacing w:before="80"/>
        <w:jc w:val="center"/>
      </w:pPr>
      <w:r>
        <w:drawing>
          <wp:inline distT="0" distB="0" distL="0" distR="0">
            <wp:extent cx="752475" cy="533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752475" cy="533400"/>
                    </a:xfrm>
                    <a:prstGeom prst="rect">
                      <a:avLst/>
                    </a:prstGeom>
                  </pic:spPr>
                </pic:pic>
              </a:graphicData>
            </a:graphic>
          </wp:inline>
        </w:drawing>
      </w:r>
    </w:p>
    <w:p>
      <w:pPr>
        <w:spacing w:before="60"/>
        <w:jc w:val="center"/>
      </w:pPr>
      <w:r>
        <w:rPr>
          <w:rFonts w:ascii="Liberation Mono" w:cs="Liberation Mono" w:eastAsia="Liberation Mono" w:hAnsi="Liberation Mono"/>
          <w:color w:val="5B6670"/>
          <w:sz w:val="14"/>
          <w:szCs w:val="14"/>
        </w:rPr>
        <w:t xml:space="preserve">End of TASK-25 Proposal Evaluation Rubric</w:t>
      </w:r>
    </w:p>
    <w:sectPr>
      <w:footerReference w:type="default" r:id="rId7"/>
      <w:pgSz w:w="11906" w:h="16838" w:orient="portrait"/>
      <w:pgMar w:top="720" w:right="1296" w:bottom="1008" w:left="1296"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Liberation Mono" w:cs="Liberation Mono" w:eastAsia="Liberation Mono" w:hAnsi="Liberation Mono"/>
        <w:color w:val="5B6670"/>
        <w:sz w:val="15"/>
        <w:szCs w:val="15"/>
      </w:rPr>
      <w:t xml:space="preserve">TASK-25: Proposal Evaluation Rubric   ·   Page </w:t>
    </w:r>
    <w:r>
      <w:rPr>
        <w:rFonts w:ascii="Liberation Mono" w:cs="Liberation Mono" w:eastAsia="Liberation Mono" w:hAnsi="Liberation Mono"/>
        <w:color w:val="5B6670"/>
        <w:sz w:val="15"/>
        <w:szCs w:val="15"/>
      </w:rPr>
      <w:fldChar w:fldCharType="begin"/>
      <w:instrText xml:space="preserve">PAGE</w:instrText>
      <w:fldChar w:fldCharType="separate"/>
      <w:fldChar w:fldCharType="end"/>
    </w:r>
    <w:r>
      <w:rPr>
        <w:rFonts w:ascii="Liberation Mono" w:cs="Liberation Mono" w:eastAsia="Liberation Mono" w:hAnsi="Liberation Mono"/>
        <w:color w:val="5B6670"/>
        <w:sz w:val="15"/>
        <w:szCs w:val="15"/>
      </w:rPr>
      <w:t xml:space="preserve"> of </w:t>
    </w:r>
    <w:r>
      <w:rPr>
        <w:rFonts w:ascii="Liberation Mono" w:cs="Liberation Mono" w:eastAsia="Liberation Mono" w:hAnsi="Liberation Mono"/>
        <w:color w:val="5B6670"/>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59"/>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Liberation Sans" w:cs="Liberation Sans" w:eastAsia="Liberation Sans" w:hAnsi="Liberation Sans"/>
        <w:color w:val="1620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q_ggmp3unj-6myytsymua" Type="http://schemas.openxmlformats.org/officeDocument/2006/relationships/hyperlink" Target="https://snapshot.box/#/s:rbnt.eth/proposal/0xf2a05384e37a710c1600db1abbac9b4dc66444a56a1ed49df7f0e3dbfd7570e7" TargetMode="External"/><Relationship Id="rIdcmedglvhwtkymy1qa_c_f" Type="http://schemas.openxmlformats.org/officeDocument/2006/relationships/hyperlink" Target="https://cdn.jsdelivr.net/gh/hildecorp/redbellydaotask25@main/website/constitutionv1.3.pdf" TargetMode="External"/><Relationship Id="rId7kmgnu6rmdgtjxavtj4rm" Type="http://schemas.openxmlformats.org/officeDocument/2006/relationships/hyperlink" Target="https://firebasestorage.googleapis.com/v0/b/redbelly-community-dao.firebasestorage.app/o/resources%2F1762476540292-Redbelly%20Community%20DAO%20Code%20of%20Conduct%20-%20Ratified.pdf?alt=media&amp;token=84ca2c33-a502-4991-9720-4e6154847416" TargetMode="External"/><Relationship Id="rIdxjhtw-fyjstsfu2swzh7o" Type="http://schemas.openxmlformats.org/officeDocument/2006/relationships/hyperlink" Target="https://cdn.jsdelivr.net/gh/hildecorp/redbellydaotask25@main/website/constitutionv1.3.pdf" TargetMode="External"/><Relationship Id="rIdvh523e32gfqzkupzoi_jr" Type="http://schemas.openxmlformats.org/officeDocument/2006/relationships/hyperlink" Target="https://cdn.jsdelivr.net/gh/hildecorp/redbellydaotask25@main/website/constitutionv1.3.pdf" TargetMode="External"/><Relationship Id="rId5b5tzr99eysyjrf4pzxq8" Type="http://schemas.openxmlformats.org/officeDocument/2006/relationships/hyperlink" Target="https://cdn.jsdelivr.net/gh/hildecorp/redbellydaotask25@main/website/constitutionv1.3.pdf" TargetMode="External"/><Relationship Id="rIdsxqtcv9vzkgeqzcxbkvrg" Type="http://schemas.openxmlformats.org/officeDocument/2006/relationships/hyperlink" Target="https://cdn.jsdelivr.net/gh/hildecorp/redbellydaotask25@main/website/constitutionv1.3.pdf" TargetMode="External"/><Relationship Id="rIdga1uoykgjsv3vln5p_pti" Type="http://schemas.openxmlformats.org/officeDocument/2006/relationships/hyperlink" Target="https://cdn.jsdelivr.net/gh/hildecorp/redbellydaotask25@main/website/constitutionv1.3.pdf" TargetMode="External"/><Relationship Id="rIdueccoih6npcwiwlz2loil" Type="http://schemas.openxmlformats.org/officeDocument/2006/relationships/hyperlink" Target="https://firebasestorage.googleapis.com/v0/b/redbelly-community-dao.firebasestorage.app/o/resources%2F1762476540292-Redbelly%20Community%20DAO%20Code%20of%20Conduct%20-%20Ratified.pdf?alt=media&amp;token=84ca2c33-a502-4991-9720-4e6154847416" TargetMode="External"/><Relationship Id="rIdlncz9yfcdy08xmqwrnwfu" Type="http://schemas.openxmlformats.org/officeDocument/2006/relationships/hyperlink" Target="https://cdn.jsdelivr.net/gh/hildecorp/redbellydaotask25@main/website/constitutionv1.3.pdf" TargetMode="External"/><Relationship Id="rId8" Type="http://schemas.openxmlformats.org/officeDocument/2006/relationships/image" Target="media/c201776789e02151cfb3852392db8c74f8c11871.png"/><Relationship Id="rId1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2026-08-17T06:18:53.532Z</dcterms:created>
  <dcterms:modified xsi:type="dcterms:W3CDTF">2026-08-17T06:18:53.545Z</dcterms:modified>
</cp:coreProperties>
</file>

<file path=docProps/custom.xml><?xml version="1.0" encoding="utf-8"?>
<Properties xmlns="http://schemas.openxmlformats.org/officeDocument/2006/custom-properties" xmlns:vt="http://schemas.openxmlformats.org/officeDocument/2006/docPropsVTypes"/>
</file>