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00965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09650" cy="723900"/>
                    </a:xfrm>
                    <a:prstGeom prst="rect">
                      <a:avLst/>
                    </a:prstGeom>
                  </pic:spPr>
                </pic:pic>
              </a:graphicData>
            </a:graphic>
          </wp:inline>
        </w:drawing>
      </w:r>
    </w:p>
    <w:tbl>
      <w:tblPr>
        <w:tblW w:type="pct" w:w="100%"/>
        <w:tblBorders>
          <w:top w:val="none"/>
          <w:left w:val="none"/>
          <w:bottom w:val="none"/>
          <w:right w:val="none"/>
          <w:insideH w:val="none"/>
          <w:insideV w:val="none"/>
        </w:tblBorders>
      </w:tblPr>
      <w:tblGrid>
        <w:gridCol w:w="100"/>
      </w:tblGrid>
      <w:tr>
        <w:tc>
          <w:tcPr>
            <w:shd w:fill="EF5350" w:val="clear"/>
            <w:tcMar>
              <w:top w:type="dxa" w:w="260"/>
              <w:left w:type="dxa" w:w="300"/>
              <w:bottom w:type="dxa" w:w="300"/>
              <w:right w:type="dxa" w:w="300"/>
            </w:tcMar>
          </w:tcPr>
          <w:p>
            <w:r>
              <w:rPr>
                <w:rFonts w:ascii="Liberation Mono" w:cs="Liberation Mono" w:eastAsia="Liberation Mono" w:hAnsi="Liberation Mono"/>
                <w:b/>
                <w:bCs/>
                <w:color w:val="FFFFFF"/>
                <w:sz w:val="20"/>
                <w:szCs w:val="20"/>
              </w:rPr>
              <w:t xml:space="preserve">TASK-25</w:t>
            </w:r>
          </w:p>
          <w:p>
            <w:pPr>
              <w:spacing w:before="60"/>
            </w:pPr>
            <w:r>
              <w:rPr>
                <w:rFonts w:ascii="Liberation Sans" w:cs="Liberation Sans" w:eastAsia="Liberation Sans" w:hAnsi="Liberation Sans"/>
                <w:b/>
                <w:bCs/>
                <w:color w:val="FFFFFF"/>
                <w:sz w:val="40"/>
                <w:szCs w:val="40"/>
              </w:rPr>
              <w:t xml:space="preserve">Proposal Evaluation Rubric</w:t>
            </w:r>
          </w:p>
          <w:p>
            <w:pPr>
              <w:spacing w:before="80"/>
            </w:pPr>
            <w:r>
              <w:rPr>
                <w:rFonts w:ascii="Liberation Sans" w:cs="Liberation Sans" w:eastAsia="Liberation Sans" w:hAnsi="Liberation Sans"/>
                <w:color w:val="FFE1DF"/>
                <w:sz w:val="22"/>
                <w:szCs w:val="22"/>
              </w:rPr>
              <w:t xml:space="preserve">Criteria-to-Constitution mapping for automated pre-screening</w:t>
            </w:r>
          </w:p>
        </w:tc>
      </w:tr>
    </w:tbl>
    <w:p>
      <w:pPr>
        <w:spacing w:after="60" w:before="260"/>
      </w:pPr>
      <w:r>
        <w:rPr>
          <w:rFonts w:ascii="Liberation Sans" w:cs="Liberation Sans" w:eastAsia="Liberation Sans" w:hAnsi="Liberation Sans"/>
          <w:b/>
          <w:bCs/>
          <w:color w:val="16202A"/>
          <w:sz w:val="19"/>
          <w:szCs w:val="19"/>
        </w:rPr>
        <w:t xml:space="preserve">Sources</w:t>
      </w:r>
    </w:p>
    <w:p>
      <w:pPr>
        <w:spacing w:after="30"/>
      </w:pPr>
      <w:r>
        <w:rPr>
          <w:rFonts w:ascii="Liberation Sans" w:cs="Liberation Sans" w:eastAsia="Liberation Sans" w:hAnsi="Liberation Sans"/>
          <w:b/>
          <w:bCs/>
          <w:color w:val="16202A"/>
          <w:sz w:val="19"/>
          <w:szCs w:val="19"/>
        </w:rPr>
        <w:t xml:space="preserve">Task: </w:t>
      </w:r>
      <w:r>
        <w:rPr>
          <w:rFonts w:ascii="Liberation Sans" w:cs="Liberation Sans" w:eastAsia="Liberation Sans" w:hAnsi="Liberation Sans"/>
          <w:color w:val="5B6670"/>
          <w:sz w:val="19"/>
          <w:szCs w:val="19"/>
        </w:rPr>
        <w:t xml:space="preserve">TASK-25, Proposal Evaluation Framework with Automated Pre-Screening.</w:t>
      </w:r>
    </w:p>
    <w:p>
      <w:pPr>
        <w:spacing w:after="4"/>
      </w:pPr>
      <w:r>
        <w:rPr>
          <w:rFonts w:ascii="Liberation Sans" w:cs="Liberation Sans" w:eastAsia="Liberation Sans" w:hAnsi="Liberation Sans"/>
          <w:b/>
          <w:bCs/>
          <w:color w:val="16202A"/>
          <w:sz w:val="19"/>
          <w:szCs w:val="19"/>
        </w:rPr>
        <w:t xml:space="preserve">Checklist: </w:t>
      </w:r>
      <w:r>
        <w:rPr>
          <w:rFonts w:ascii="Liberation Sans" w:cs="Liberation Sans" w:eastAsia="Liberation Sans" w:hAnsi="Liberation Sans"/>
          <w:color w:val="5B6670"/>
          <w:sz w:val="19"/>
          <w:szCs w:val="19"/>
        </w:rPr>
        <w:t xml:space="preserve">“Adoption of Standardised Proposal Evaluation Criteria,” Snapshot proposal #7, moderator CaptDeFi. Passed, ratified 6 Oct 2025.</w:t>
      </w:r>
    </w:p>
    <w:p>
      <w:pPr>
        <w:spacing w:after="30"/>
      </w:pPr>
      <w:hyperlink w:history="1" r:id="rIdq_ggmp3unj-6myytsymua">
        <w:r>
          <w:rPr>
            <w:rFonts w:ascii="Liberation Mono" w:cs="Liberation Mono" w:eastAsia="Liberation Mono" w:hAnsi="Liberation Mono"/>
            <w:color w:val="B3272A"/>
            <w:sz w:val="16"/>
            <w:szCs w:val="16"/>
            <w:u w:val="single"/>
          </w:rPr>
          <w:t xml:space="preserve">https://snapshot.box/#/s:rbnt.eth/proposal/0xf2a05384e37a710c1600db1abbac9b4dc66444a56a1ed49df7f0e3dbfd7570e7</w:t>
        </w:r>
      </w:hyperlink>
    </w:p>
    <w:p>
      <w:pPr>
        <w:spacing w:after="4"/>
      </w:pPr>
      <w:r>
        <w:rPr>
          <w:rFonts w:ascii="Liberation Sans" w:cs="Liberation Sans" w:eastAsia="Liberation Sans" w:hAnsi="Liberation Sans"/>
          <w:b/>
          <w:bCs/>
          <w:color w:val="16202A"/>
          <w:sz w:val="19"/>
          <w:szCs w:val="19"/>
        </w:rPr>
        <w:t xml:space="preserve">Constitution: </w:t>
      </w:r>
      <w:r>
        <w:rPr>
          <w:rFonts w:ascii="Liberation Sans" w:cs="Liberation Sans" w:eastAsia="Liberation Sans" w:hAnsi="Liberation Sans"/>
          <w:color w:val="5B6670"/>
          <w:sz w:val="19"/>
          <w:szCs w:val="19"/>
        </w:rPr>
        <w:t xml:space="preserve">Redbelly Community DAO Constitution v1.2, ratified via Snapshot vote 20 Sep 2025.</w:t>
      </w:r>
    </w:p>
    <w:p>
      <w:pPr>
        <w:spacing w:after="30"/>
      </w:pPr>
      <w:hyperlink w:history="1" r:id="rIdcmedglvhwtkymy1qa_c_f">
        <w:r>
          <w:rPr>
            <w:rFonts w:ascii="Liberation Mono" w:cs="Liberation Mono" w:eastAsia="Liberation Mono" w:hAnsi="Liberation Mono"/>
            <w:color w:val="B3272A"/>
            <w:sz w:val="16"/>
            <w:szCs w:val="16"/>
            <w:u w:val="single"/>
          </w:rPr>
          <w:t xml:space="preserve">https://firebasestorage.googleapis.com/v0/b/redbelly-community-dao.firebasestorage.app/o/resources%2F1762476390856-Redbelly%20Community%20DAO%20Constitution%20v1.2%20-%20Ratified.pdf?alt=media&amp;token=c89ccef9-cc7c-4a37-9b43-a3fac9e49ddc</w:t>
        </w:r>
      </w:hyperlink>
    </w:p>
    <w:p>
      <w:pPr>
        <w:spacing w:after="4"/>
      </w:pPr>
      <w:r>
        <w:rPr>
          <w:rFonts w:ascii="Liberation Sans" w:cs="Liberation Sans" w:eastAsia="Liberation Sans" w:hAnsi="Liberation Sans"/>
          <w:b/>
          <w:bCs/>
          <w:color w:val="16202A"/>
          <w:sz w:val="19"/>
          <w:szCs w:val="19"/>
        </w:rPr>
        <w:t xml:space="preserve">Code of Conduct: </w:t>
      </w:r>
      <w:r>
        <w:rPr>
          <w:rFonts w:ascii="Liberation Sans" w:cs="Liberation Sans" w:eastAsia="Liberation Sans" w:hAnsi="Liberation Sans"/>
          <w:color w:val="5B6670"/>
          <w:sz w:val="19"/>
          <w:szCs w:val="19"/>
        </w:rPr>
        <w:t xml:space="preserve">Redbelly Community DAO Code of Conduct v1.0, ratified via Snapshot vote 6 Oct 2025.</w:t>
      </w:r>
    </w:p>
    <w:p>
      <w:pPr>
        <w:spacing w:after="30"/>
      </w:pPr>
      <w:hyperlink w:history="1" r:id="rId7kmgnu6rmdgtjxavtj4rm">
        <w:r>
          <w:rPr>
            <w:rFonts w:ascii="Liberation Mono" w:cs="Liberation Mono" w:eastAsia="Liberation Mono" w:hAnsi="Liberation Mono"/>
            <w:color w:val="B3272A"/>
            <w:sz w:val="16"/>
            <w:szCs w:val="16"/>
            <w:u w:val="single"/>
          </w:rPr>
          <w:t xml:space="preserve">https://firebasestorage.googleapis.com/v0/b/redbelly-community-dao.firebasestorage.app/o/resources%2F1762476540292-Redbelly%20Community%20DAO%20Code%20of%20Conduct%20-%20Ratified.pdf?alt=media&amp;token=84ca2c33-a502-4991-9720-4e6154847416</w:t>
        </w:r>
      </w:hyperlink>
    </w:p>
    <w:p>
      <w:pPr>
        <w:spacing w:after="60" w:before="200"/>
      </w:pPr>
      <w:r>
        <w:rPr>
          <w:rFonts w:ascii="Liberation Sans" w:cs="Liberation Sans" w:eastAsia="Liberation Sans" w:hAnsi="Liberation Sans"/>
          <w:b/>
          <w:bCs/>
          <w:color w:val="16202A"/>
          <w:sz w:val="19"/>
          <w:szCs w:val="19"/>
        </w:rPr>
        <w:t xml:space="preserve">How to read this</w:t>
      </w:r>
    </w:p>
    <w:p>
      <w:pPr>
        <w:spacing w:after="40"/>
      </w:pPr>
      <w:r>
        <w:rPr>
          <w:rFonts w:ascii="Liberation Sans" w:cs="Liberation Sans" w:eastAsia="Liberation Sans" w:hAnsi="Liberation Sans"/>
          <w:color w:val="16202A"/>
          <w:sz w:val="19"/>
          <w:szCs w:val="19"/>
        </w:rPr>
        <w:t xml:space="preserve">Each of the 11 criteria below carries the pass conditions and flag condition exactly as ratified, with no rewording. Below that, this rubric adds a Constitution anchor: the section of Constitution v1.2 (or the Code of Conduct) that grounds the criterion in DAO governance text, so a flag can cite a rule number instead of a reviewer's opinion. Three criteria have no clean anchor. That is stated plainly rather than forced. Two ratified-text problems surface in the mapping itself; both are named in Known Discrepancies at the end rather than silently resolved.</w:t>
      </w:r>
    </w:p>
    <w:p>
      <w:pPr>
        <w:pBdr>
          <w:bottom w:val="single" w:color="D8DCDF" w:sz="6" w:space="1"/>
        </w:pBdr>
        <w:spacing w:after="200" w:before="200"/>
      </w:pPr>
    </w:p>
    <w:p>
      <w:pPr>
        <w:pStyle w:val="Heading1"/>
        <w:spacing w:after="120" w:before="280"/>
      </w:pPr>
      <w:r>
        <w:rPr>
          <w:rFonts w:ascii="Liberation Mono" w:cs="Liberation Mono" w:eastAsia="Liberation Mono" w:hAnsi="Liberation Mono"/>
          <w:b/>
          <w:bCs/>
          <w:color w:val="B3272A"/>
          <w:sz w:val="26"/>
          <w:szCs w:val="26"/>
        </w:rPr>
        <w:t xml:space="preserve">1. </w:t>
      </w:r>
      <w:r>
        <w:rPr>
          <w:rFonts w:ascii="Liberation Sans" w:cs="Liberation Sans" w:eastAsia="Liberation Sans" w:hAnsi="Liberation Sans"/>
          <w:b/>
          <w:bCs/>
          <w:color w:val="16202A"/>
          <w:sz w:val="26"/>
          <w:szCs w:val="26"/>
        </w:rPr>
        <w:t xml:space="preserve">Budget Alignment &amp; Limits</w:t>
      </w:r>
    </w:p>
    <w:p>
      <w:pPr>
        <w:spacing w:after="40"/>
      </w:pPr>
      <w:r>
        <w:rPr>
          <w:rFonts w:ascii="Liberation Mono" w:cs="Liberation Mono" w:eastAsia="Liberation Mono" w:hAnsi="Liberation Mono"/>
          <w:b/>
          <w:bCs/>
          <w:color w:val="1F9D5A"/>
          <w:sz w:val="17"/>
          <w:szCs w:val="17"/>
        </w:rPr>
        <w:t xml:space="preserve">PASS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Clear separation of USDT (external spend) and RBNT (internal rewards).</w:t>
      </w:r>
    </w:p>
    <w:p>
      <w:pPr>
        <w:pStyle w:val="ListParagraph"/>
        <w:numPr>
          <w:ilvl w:val="0"/>
          <w:numId w:val="2"/>
        </w:numPr>
        <w:spacing w:after="60"/>
      </w:pPr>
      <w:r>
        <w:rPr>
          <w:rFonts w:ascii="Liberation Sans" w:cs="Liberation Sans" w:eastAsia="Liberation Sans" w:hAnsi="Liberation Sans"/>
          <w:color w:val="16202A"/>
          <w:sz w:val="21"/>
          <w:szCs w:val="21"/>
        </w:rPr>
        <w:t xml:space="preserve">Cost breakdown or justification included.</w:t>
      </w:r>
    </w:p>
    <w:p>
      <w:pPr>
        <w:spacing w:after="40" w:before="120"/>
      </w:pPr>
      <w:r>
        <w:rPr>
          <w:rFonts w:ascii="Liberation Mono" w:cs="Liberation Mono" w:eastAsia="Liberation Mono" w:hAnsi="Liberation Mono"/>
          <w:b/>
          <w:bCs/>
          <w:color w:val="B4890A"/>
          <w:sz w:val="17"/>
          <w:szCs w:val="17"/>
        </w:rPr>
        <w:t xml:space="preserve">FLAG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Flag if missing USDT/RBNT split, excessive allocation, or weak justification.</w:t>
      </w:r>
    </w:p>
    <w:p>
      <w:pPr>
        <w:spacing w:after="20" w:before="140"/>
      </w:pPr>
      <w:r>
        <w:rPr>
          <w:rFonts w:ascii="Liberation Mono" w:cs="Liberation Mono" w:eastAsia="Liberation Mono" w:hAnsi="Liberation Mono"/>
          <w:b/>
          <w:bCs/>
          <w:color w:val="16202A"/>
          <w:sz w:val="15"/>
          <w:szCs w:val="15"/>
          <w:shd w:fill="86EFAC" w:val="clear"/>
        </w:rPr>
        <w:t xml:space="preserve">CLEAN MATCH  </w:t>
      </w:r>
      <w:r>
        <w:rPr>
          <w:rFonts w:ascii="Liberation Sans" w:cs="Liberation Sans" w:eastAsia="Liberation Sans" w:hAnsi="Liberation Sans"/>
          <w:b/>
          <w:bCs/>
          <w:color w:val="16202A"/>
          <w:sz w:val="19"/>
          <w:szCs w:val="19"/>
        </w:rPr>
        <w:t xml:space="preserve">  Constitution anchor: </w:t>
      </w:r>
      <w:hyperlink w:history="1" r:id="rIdxjhtw-fyjstsfu2swzh7o">
        <w:r>
          <w:rPr>
            <w:rFonts w:ascii="Liberation Sans" w:cs="Liberation Sans" w:eastAsia="Liberation Sans" w:hAnsi="Liberation Sans"/>
            <w:b/>
            <w:bCs/>
            <w:color w:val="B3272A"/>
            <w:sz w:val="19"/>
            <w:szCs w:val="19"/>
            <w:u w:val="single"/>
          </w:rPr>
          <w:t xml:space="preserve">Section 6.2, Budgeting.</w:t>
        </w:r>
      </w:hyperlink>
    </w:p>
    <w:p>
      <w:pPr>
        <w:spacing w:after="100"/>
      </w:pPr>
      <w:r>
        <w:rPr>
          <w:rFonts w:ascii="Liberation Sans" w:cs="Liberation Sans" w:eastAsia="Liberation Sans" w:hAnsi="Liberation Sans"/>
          <w:color w:val="5B6670"/>
          <w:sz w:val="19"/>
          <w:szCs w:val="19"/>
        </w:rPr>
        <w:t xml:space="preserve">Annual cap 100,000 USDT. RBNT: 10,000,000 total available for DAO incentives. Quarterly splits to Pods published at the start of each quarter. 10% minimum allocation reserved for Open Innovation.</w:t>
      </w:r>
    </w:p>
    <w:p>
      <w:pPr>
        <w:pBdr>
          <w:bottom w:val="single" w:color="D8DCDF" w:sz="6" w:space="1"/>
        </w:pBdr>
        <w:spacing w:after="200" w:before="200"/>
      </w:pPr>
    </w:p>
    <w:p>
      <w:pPr>
        <w:pStyle w:val="Heading1"/>
        <w:spacing w:after="120" w:before="280"/>
      </w:pPr>
      <w:r>
        <w:rPr>
          <w:rFonts w:ascii="Liberation Mono" w:cs="Liberation Mono" w:eastAsia="Liberation Mono" w:hAnsi="Liberation Mono"/>
          <w:b/>
          <w:bCs/>
          <w:color w:val="B3272A"/>
          <w:sz w:val="26"/>
          <w:szCs w:val="26"/>
        </w:rPr>
        <w:t xml:space="preserve">2. </w:t>
      </w:r>
      <w:r>
        <w:rPr>
          <w:rFonts w:ascii="Liberation Sans" w:cs="Liberation Sans" w:eastAsia="Liberation Sans" w:hAnsi="Liberation Sans"/>
          <w:b/>
          <w:bCs/>
          <w:color w:val="16202A"/>
          <w:sz w:val="26"/>
          <w:szCs w:val="26"/>
        </w:rPr>
        <w:t xml:space="preserve">Payment &amp; Payout Structure</w:t>
      </w:r>
    </w:p>
    <w:p>
      <w:pPr>
        <w:spacing w:after="40"/>
      </w:pPr>
      <w:r>
        <w:rPr>
          <w:rFonts w:ascii="Liberation Mono" w:cs="Liberation Mono" w:eastAsia="Liberation Mono" w:hAnsi="Liberation Mono"/>
          <w:b/>
          <w:bCs/>
          <w:color w:val="1F9D5A"/>
          <w:sz w:val="17"/>
          <w:szCs w:val="17"/>
        </w:rPr>
        <w:t xml:space="preserve">PASS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Payouts milestone-based or post-completion.</w:t>
      </w:r>
    </w:p>
    <w:p>
      <w:pPr>
        <w:pStyle w:val="ListParagraph"/>
        <w:numPr>
          <w:ilvl w:val="0"/>
          <w:numId w:val="2"/>
        </w:numPr>
        <w:spacing w:after="60"/>
      </w:pPr>
      <w:r>
        <w:rPr>
          <w:rFonts w:ascii="Liberation Sans" w:cs="Liberation Sans" w:eastAsia="Liberation Sans" w:hAnsi="Liberation Sans"/>
          <w:color w:val="16202A"/>
          <w:sz w:val="21"/>
          <w:szCs w:val="21"/>
        </w:rPr>
        <w:t xml:space="preserve">Upfront requests require clear justification.</w:t>
      </w:r>
    </w:p>
    <w:p>
      <w:pPr>
        <w:pStyle w:val="ListParagraph"/>
        <w:numPr>
          <w:ilvl w:val="0"/>
          <w:numId w:val="2"/>
        </w:numPr>
        <w:spacing w:after="60"/>
      </w:pPr>
      <w:r>
        <w:rPr>
          <w:rFonts w:ascii="Liberation Sans" w:cs="Liberation Sans" w:eastAsia="Liberation Sans" w:hAnsi="Liberation Sans"/>
          <w:color w:val="16202A"/>
          <w:sz w:val="21"/>
          <w:szCs w:val="21"/>
        </w:rPr>
        <w:t xml:space="preserve">Milestones tied to deliverables.</w:t>
      </w:r>
    </w:p>
    <w:p>
      <w:pPr>
        <w:spacing w:after="40" w:before="120"/>
      </w:pPr>
      <w:r>
        <w:rPr>
          <w:rFonts w:ascii="Liberation Mono" w:cs="Liberation Mono" w:eastAsia="Liberation Mono" w:hAnsi="Liberation Mono"/>
          <w:b/>
          <w:bCs/>
          <w:color w:val="B4890A"/>
          <w:sz w:val="17"/>
          <w:szCs w:val="17"/>
        </w:rPr>
        <w:t xml:space="preserve">FLAG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Flag if large upfront payments lack justification or no milestone structure provided.</w:t>
      </w:r>
    </w:p>
    <w:p>
      <w:pPr>
        <w:spacing w:after="20" w:before="140"/>
      </w:pPr>
      <w:r>
        <w:rPr>
          <w:rFonts w:ascii="Liberation Mono" w:cs="Liberation Mono" w:eastAsia="Liberation Mono" w:hAnsi="Liberation Mono"/>
          <w:b/>
          <w:bCs/>
          <w:color w:val="16202A"/>
          <w:sz w:val="15"/>
          <w:szCs w:val="15"/>
          <w:shd w:fill="86EFAC" w:val="clear"/>
        </w:rPr>
        <w:t xml:space="preserve">CLEAN MATCH  </w:t>
      </w:r>
      <w:r>
        <w:rPr>
          <w:rFonts w:ascii="Liberation Sans" w:cs="Liberation Sans" w:eastAsia="Liberation Sans" w:hAnsi="Liberation Sans"/>
          <w:b/>
          <w:bCs/>
          <w:color w:val="16202A"/>
          <w:sz w:val="19"/>
          <w:szCs w:val="19"/>
        </w:rPr>
        <w:t xml:space="preserve">  Constitution anchor: </w:t>
      </w:r>
      <w:hyperlink w:history="1" r:id="rIdvh523e32gfqzkupzoi_jr">
        <w:r>
          <w:rPr>
            <w:rFonts w:ascii="Liberation Sans" w:cs="Liberation Sans" w:eastAsia="Liberation Sans" w:hAnsi="Liberation Sans"/>
            <w:b/>
            <w:bCs/>
            <w:color w:val="B3272A"/>
            <w:sz w:val="19"/>
            <w:szCs w:val="19"/>
            <w:u w:val="single"/>
          </w:rPr>
          <w:t xml:space="preserve">Section 7, Contributor Expectations.</w:t>
        </w:r>
      </w:hyperlink>
    </w:p>
    <w:p>
      <w:pPr>
        <w:spacing w:after="100"/>
      </w:pPr>
      <w:r>
        <w:rPr>
          <w:rFonts w:ascii="Liberation Sans" w:cs="Liberation Sans" w:eastAsia="Liberation Sans" w:hAnsi="Liberation Sans"/>
          <w:color w:val="5B6670"/>
          <w:sz w:val="19"/>
          <w:szCs w:val="19"/>
        </w:rPr>
        <w:t xml:space="preserve">Tasks and grants must define clear KPIs, a timeline and milestones, and a reward structure. Section 4.1 step 9, Payment + Archive, applies loosely too.</w:t>
      </w:r>
    </w:p>
    <w:p>
      <w:pPr>
        <w:pBdr>
          <w:bottom w:val="single" w:color="D8DCDF" w:sz="6" w:space="1"/>
        </w:pBdr>
        <w:spacing w:after="200" w:before="200"/>
      </w:pPr>
    </w:p>
    <w:p>
      <w:pPr>
        <w:pStyle w:val="Heading1"/>
        <w:spacing w:after="120" w:before="280"/>
      </w:pPr>
      <w:r>
        <w:rPr>
          <w:rFonts w:ascii="Liberation Mono" w:cs="Liberation Mono" w:eastAsia="Liberation Mono" w:hAnsi="Liberation Mono"/>
          <w:b/>
          <w:bCs/>
          <w:color w:val="B3272A"/>
          <w:sz w:val="26"/>
          <w:szCs w:val="26"/>
        </w:rPr>
        <w:t xml:space="preserve">3. </w:t>
      </w:r>
      <w:r>
        <w:rPr>
          <w:rFonts w:ascii="Liberation Sans" w:cs="Liberation Sans" w:eastAsia="Liberation Sans" w:hAnsi="Liberation Sans"/>
          <w:b/>
          <w:bCs/>
          <w:color w:val="16202A"/>
          <w:sz w:val="26"/>
          <w:szCs w:val="26"/>
        </w:rPr>
        <w:t xml:space="preserve">Strategic Fit</w:t>
      </w:r>
    </w:p>
    <w:p>
      <w:pPr>
        <w:spacing w:after="40"/>
      </w:pPr>
      <w:r>
        <w:rPr>
          <w:rFonts w:ascii="Liberation Mono" w:cs="Liberation Mono" w:eastAsia="Liberation Mono" w:hAnsi="Liberation Mono"/>
          <w:b/>
          <w:bCs/>
          <w:color w:val="1F9D5A"/>
          <w:sz w:val="17"/>
          <w:szCs w:val="17"/>
        </w:rPr>
        <w:t xml:space="preserve">PASS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Alignment with one of the three working groups (Community, Marketing, Developers/Builders).</w:t>
      </w:r>
    </w:p>
    <w:p>
      <w:pPr>
        <w:pStyle w:val="ListParagraph"/>
        <w:numPr>
          <w:ilvl w:val="0"/>
          <w:numId w:val="2"/>
        </w:numPr>
        <w:spacing w:after="60"/>
      </w:pPr>
      <w:r>
        <w:rPr>
          <w:rFonts w:ascii="Liberation Sans" w:cs="Liberation Sans" w:eastAsia="Liberation Sans" w:hAnsi="Liberation Sans"/>
          <w:color w:val="16202A"/>
          <w:sz w:val="21"/>
          <w:szCs w:val="21"/>
        </w:rPr>
        <w:t xml:space="preserve">Clear link to DAO-wide goals (adoption, awareness, infrastructure growth).</w:t>
      </w:r>
    </w:p>
    <w:p>
      <w:pPr>
        <w:spacing w:after="40" w:before="120"/>
      </w:pPr>
      <w:r>
        <w:rPr>
          <w:rFonts w:ascii="Liberation Mono" w:cs="Liberation Mono" w:eastAsia="Liberation Mono" w:hAnsi="Liberation Mono"/>
          <w:b/>
          <w:bCs/>
          <w:color w:val="B4890A"/>
          <w:sz w:val="17"/>
          <w:szCs w:val="17"/>
        </w:rPr>
        <w:t xml:space="preserve">FLAG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Flag if alignment unclear or goals vague.</w:t>
      </w:r>
    </w:p>
    <w:p>
      <w:pPr>
        <w:spacing w:after="20" w:before="140"/>
      </w:pPr>
      <w:r>
        <w:rPr>
          <w:rFonts w:ascii="Liberation Mono" w:cs="Liberation Mono" w:eastAsia="Liberation Mono" w:hAnsi="Liberation Mono"/>
          <w:b/>
          <w:bCs/>
          <w:color w:val="16202A"/>
          <w:sz w:val="15"/>
          <w:szCs w:val="15"/>
          <w:shd w:fill="FCD34D" w:val="clear"/>
        </w:rPr>
        <w:t xml:space="preserve">ANCHOR CONFLICT  </w:t>
      </w:r>
      <w:r>
        <w:rPr>
          <w:rFonts w:ascii="Liberation Sans" w:cs="Liberation Sans" w:eastAsia="Liberation Sans" w:hAnsi="Liberation Sans"/>
          <w:b/>
          <w:bCs/>
          <w:color w:val="16202A"/>
          <w:sz w:val="19"/>
          <w:szCs w:val="19"/>
        </w:rPr>
        <w:t xml:space="preserve">  Constitution anchor: </w:t>
      </w:r>
      <w:hyperlink w:history="1" r:id="rId5b5tzr99eysyjrf4pzxq8">
        <w:r>
          <w:rPr>
            <w:rFonts w:ascii="Liberation Sans" w:cs="Liberation Sans" w:eastAsia="Liberation Sans" w:hAnsi="Liberation Sans"/>
            <w:b/>
            <w:bCs/>
            <w:color w:val="B3272A"/>
            <w:sz w:val="19"/>
            <w:szCs w:val="19"/>
            <w:u w:val="single"/>
          </w:rPr>
          <w:t xml:space="preserve">Section 3, Working Groups (Pods).</w:t>
        </w:r>
      </w:hyperlink>
    </w:p>
    <w:p>
      <w:pPr>
        <w:spacing w:after="100"/>
      </w:pPr>
      <w:r>
        <w:rPr>
          <w:rFonts w:ascii="Liberation Sans" w:cs="Liberation Sans" w:eastAsia="Liberation Sans" w:hAnsi="Liberation Sans"/>
          <w:color w:val="5B6670"/>
          <w:sz w:val="19"/>
          <w:szCs w:val="19"/>
        </w:rPr>
        <w:t xml:space="preserve">The ratified checklist names three working groups. The ratified Constitution names five pods: Marketing, Builder/Develop, Researcher, Community, Partnerships. Both are ratified DAO text and disagree with each other. This rubric does not pick a side. See Known Discrepancies, item 1.</w:t>
      </w:r>
    </w:p>
    <w:p>
      <w:pPr>
        <w:pBdr>
          <w:bottom w:val="single" w:color="D8DCDF" w:sz="6" w:space="1"/>
        </w:pBdr>
        <w:spacing w:after="200" w:before="200"/>
      </w:pPr>
    </w:p>
    <w:p>
      <w:pPr>
        <w:pStyle w:val="Heading1"/>
        <w:spacing w:after="120" w:before="280"/>
      </w:pPr>
      <w:r>
        <w:rPr>
          <w:rFonts w:ascii="Liberation Mono" w:cs="Liberation Mono" w:eastAsia="Liberation Mono" w:hAnsi="Liberation Mono"/>
          <w:b/>
          <w:bCs/>
          <w:color w:val="B3272A"/>
          <w:sz w:val="26"/>
          <w:szCs w:val="26"/>
        </w:rPr>
        <w:t xml:space="preserve">4. </w:t>
      </w:r>
      <w:r>
        <w:rPr>
          <w:rFonts w:ascii="Liberation Sans" w:cs="Liberation Sans" w:eastAsia="Liberation Sans" w:hAnsi="Liberation Sans"/>
          <w:b/>
          <w:bCs/>
          <w:color w:val="16202A"/>
          <w:sz w:val="26"/>
          <w:szCs w:val="26"/>
        </w:rPr>
        <w:t xml:space="preserve">Feasibility &amp; Timeline</w:t>
      </w:r>
    </w:p>
    <w:p>
      <w:pPr>
        <w:spacing w:after="40"/>
      </w:pPr>
      <w:r>
        <w:rPr>
          <w:rFonts w:ascii="Liberation Mono" w:cs="Liberation Mono" w:eastAsia="Liberation Mono" w:hAnsi="Liberation Mono"/>
          <w:b/>
          <w:bCs/>
          <w:color w:val="1F9D5A"/>
          <w:sz w:val="17"/>
          <w:szCs w:val="17"/>
        </w:rPr>
        <w:t xml:space="preserve">PASS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Timeline with milestones/deliverables provided.</w:t>
      </w:r>
    </w:p>
    <w:p>
      <w:pPr>
        <w:pStyle w:val="ListParagraph"/>
        <w:numPr>
          <w:ilvl w:val="0"/>
          <w:numId w:val="2"/>
        </w:numPr>
        <w:spacing w:after="60"/>
      </w:pPr>
      <w:r>
        <w:rPr>
          <w:rFonts w:ascii="Liberation Sans" w:cs="Liberation Sans" w:eastAsia="Liberation Sans" w:hAnsi="Liberation Sans"/>
          <w:color w:val="16202A"/>
          <w:sz w:val="21"/>
          <w:szCs w:val="21"/>
        </w:rPr>
        <w:t xml:space="preserve">Scope achievable with proposed budget/resources.</w:t>
      </w:r>
    </w:p>
    <w:p>
      <w:pPr>
        <w:pStyle w:val="ListParagraph"/>
        <w:numPr>
          <w:ilvl w:val="0"/>
          <w:numId w:val="2"/>
        </w:numPr>
        <w:spacing w:after="60"/>
      </w:pPr>
      <w:r>
        <w:rPr>
          <w:rFonts w:ascii="Liberation Sans" w:cs="Liberation Sans" w:eastAsia="Liberation Sans" w:hAnsi="Liberation Sans"/>
          <w:color w:val="16202A"/>
          <w:sz w:val="21"/>
          <w:szCs w:val="21"/>
        </w:rPr>
        <w:t xml:space="preserve">No duplication of existing efforts.</w:t>
      </w:r>
    </w:p>
    <w:p>
      <w:pPr>
        <w:spacing w:after="40" w:before="120"/>
      </w:pPr>
      <w:r>
        <w:rPr>
          <w:rFonts w:ascii="Liberation Mono" w:cs="Liberation Mono" w:eastAsia="Liberation Mono" w:hAnsi="Liberation Mono"/>
          <w:b/>
          <w:bCs/>
          <w:color w:val="B4890A"/>
          <w:sz w:val="17"/>
          <w:szCs w:val="17"/>
        </w:rPr>
        <w:t xml:space="preserve">FLAG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Flag if timeline absent, milestones vague, or scope unrealistic.</w:t>
      </w:r>
    </w:p>
    <w:p>
      <w:pPr>
        <w:spacing w:after="20" w:before="140"/>
      </w:pPr>
      <w:r>
        <w:rPr>
          <w:rFonts w:ascii="Liberation Mono" w:cs="Liberation Mono" w:eastAsia="Liberation Mono" w:hAnsi="Liberation Mono"/>
          <w:b/>
          <w:bCs/>
          <w:color w:val="FFFFFF"/>
          <w:sz w:val="15"/>
          <w:szCs w:val="15"/>
          <w:shd w:fill="5B6670" w:val="clear"/>
        </w:rPr>
        <w:t xml:space="preserve">NO CLEAN ANCHOR  </w:t>
      </w:r>
      <w:r>
        <w:rPr>
          <w:rFonts w:ascii="Liberation Sans" w:cs="Liberation Sans" w:eastAsia="Liberation Sans" w:hAnsi="Liberation Sans"/>
          <w:b/>
          <w:bCs/>
          <w:color w:val="16202A"/>
          <w:sz w:val="19"/>
          <w:szCs w:val="19"/>
        </w:rPr>
        <w:t xml:space="preserve">  Constitution anchor: </w:t>
      </w:r>
      <w:r>
        <w:rPr>
          <w:rFonts w:ascii="Liberation Sans" w:cs="Liberation Sans" w:eastAsia="Liberation Sans" w:hAnsi="Liberation Sans"/>
          <w:b/>
          <w:bCs/>
          <w:color w:val="B3272A"/>
          <w:sz w:val="19"/>
          <w:szCs w:val="19"/>
        </w:rPr>
        <w:t xml:space="preserve">No Constitution section sets a feasibility standard.</w:t>
      </w:r>
    </w:p>
    <w:p>
      <w:pPr>
        <w:spacing w:after="100"/>
      </w:pPr>
      <w:r>
        <w:rPr>
          <w:rFonts w:ascii="Liberation Sans" w:cs="Liberation Sans" w:eastAsia="Liberation Sans" w:hAnsi="Liberation Sans"/>
          <w:color w:val="5B6670"/>
          <w:sz w:val="19"/>
          <w:szCs w:val="19"/>
        </w:rPr>
        <w:t xml:space="preserve">Section 4.1, Process Overview, describes the review pipeline, not a feasibility test. This criterion stays a reviewer judgment call, not a text lookup.</w:t>
      </w:r>
    </w:p>
    <w:p>
      <w:pPr>
        <w:pBdr>
          <w:bottom w:val="single" w:color="D8DCDF" w:sz="6" w:space="1"/>
        </w:pBdr>
        <w:spacing w:after="200" w:before="200"/>
      </w:pPr>
    </w:p>
    <w:p>
      <w:pPr>
        <w:pStyle w:val="Heading1"/>
        <w:spacing w:after="120" w:before="280"/>
      </w:pPr>
      <w:r>
        <w:rPr>
          <w:rFonts w:ascii="Liberation Mono" w:cs="Liberation Mono" w:eastAsia="Liberation Mono" w:hAnsi="Liberation Mono"/>
          <w:b/>
          <w:bCs/>
          <w:color w:val="B3272A"/>
          <w:sz w:val="26"/>
          <w:szCs w:val="26"/>
        </w:rPr>
        <w:t xml:space="preserve">5. </w:t>
      </w:r>
      <w:r>
        <w:rPr>
          <w:rFonts w:ascii="Liberation Sans" w:cs="Liberation Sans" w:eastAsia="Liberation Sans" w:hAnsi="Liberation Sans"/>
          <w:b/>
          <w:bCs/>
          <w:color w:val="16202A"/>
          <w:sz w:val="26"/>
          <w:szCs w:val="26"/>
        </w:rPr>
        <w:t xml:space="preserve">Oversight &amp; Accountability</w:t>
      </w:r>
    </w:p>
    <w:p>
      <w:pPr>
        <w:spacing w:after="40"/>
      </w:pPr>
      <w:r>
        <w:rPr>
          <w:rFonts w:ascii="Liberation Mono" w:cs="Liberation Mono" w:eastAsia="Liberation Mono" w:hAnsi="Liberation Mono"/>
          <w:b/>
          <w:bCs/>
          <w:color w:val="1F9D5A"/>
          <w:sz w:val="17"/>
          <w:szCs w:val="17"/>
        </w:rPr>
        <w:t xml:space="preserve">PASS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Independent reviewer/oversight lead nominated.</w:t>
      </w:r>
    </w:p>
    <w:p>
      <w:pPr>
        <w:pStyle w:val="ListParagraph"/>
        <w:numPr>
          <w:ilvl w:val="0"/>
          <w:numId w:val="2"/>
        </w:numPr>
        <w:spacing w:after="60"/>
      </w:pPr>
      <w:r>
        <w:rPr>
          <w:rFonts w:ascii="Liberation Sans" w:cs="Liberation Sans" w:eastAsia="Liberation Sans" w:hAnsi="Liberation Sans"/>
          <w:color w:val="16202A"/>
          <w:sz w:val="21"/>
          <w:szCs w:val="21"/>
        </w:rPr>
        <w:t xml:space="preserve">Monthly updates planned in DAO channels.</w:t>
      </w:r>
    </w:p>
    <w:p>
      <w:pPr>
        <w:spacing w:after="40" w:before="120"/>
      </w:pPr>
      <w:r>
        <w:rPr>
          <w:rFonts w:ascii="Liberation Mono" w:cs="Liberation Mono" w:eastAsia="Liberation Mono" w:hAnsi="Liberation Mono"/>
          <w:b/>
          <w:bCs/>
          <w:color w:val="B4890A"/>
          <w:sz w:val="17"/>
          <w:szCs w:val="17"/>
        </w:rPr>
        <w:t xml:space="preserve">FLAG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Flag if oversight or communication plan missing.</w:t>
      </w:r>
    </w:p>
    <w:p>
      <w:pPr>
        <w:spacing w:after="20" w:before="140"/>
      </w:pPr>
      <w:r>
        <w:rPr>
          <w:rFonts w:ascii="Liberation Mono" w:cs="Liberation Mono" w:eastAsia="Liberation Mono" w:hAnsi="Liberation Mono"/>
          <w:b/>
          <w:bCs/>
          <w:color w:val="16202A"/>
          <w:sz w:val="15"/>
          <w:szCs w:val="15"/>
          <w:shd w:fill="86EFAC" w:val="clear"/>
        </w:rPr>
        <w:t xml:space="preserve">CLEAN MATCH  </w:t>
      </w:r>
      <w:r>
        <w:rPr>
          <w:rFonts w:ascii="Liberation Sans" w:cs="Liberation Sans" w:eastAsia="Liberation Sans" w:hAnsi="Liberation Sans"/>
          <w:b/>
          <w:bCs/>
          <w:color w:val="16202A"/>
          <w:sz w:val="19"/>
          <w:szCs w:val="19"/>
        </w:rPr>
        <w:t xml:space="preserve">  Constitution anchor: </w:t>
      </w:r>
      <w:hyperlink w:history="1" r:id="rIdsxqtcv9vzkgeqzcxbkvrg">
        <w:r>
          <w:rPr>
            <w:rFonts w:ascii="Liberation Sans" w:cs="Liberation Sans" w:eastAsia="Liberation Sans" w:hAnsi="Liberation Sans"/>
            <w:b/>
            <w:bCs/>
            <w:color w:val="B3272A"/>
            <w:sz w:val="19"/>
            <w:szCs w:val="19"/>
            <w:u w:val="single"/>
          </w:rPr>
          <w:t xml:space="preserve">Section 6.1, Transparency and Accountability.</w:t>
        </w:r>
      </w:hyperlink>
    </w:p>
    <w:p>
      <w:pPr>
        <w:spacing w:after="100"/>
      </w:pPr>
      <w:r>
        <w:rPr>
          <w:rFonts w:ascii="Liberation Sans" w:cs="Liberation Sans" w:eastAsia="Liberation Sans" w:hAnsi="Liberation Sans"/>
          <w:color w:val="5B6670"/>
          <w:sz w:val="19"/>
          <w:szCs w:val="19"/>
        </w:rPr>
        <w:t xml:space="preserve">Monthly treasury and revenue dashboards, quarterly reporting required by each working group. Section 3's per-pod quarterly reporting duty backs this too.</w:t>
      </w:r>
    </w:p>
    <w:p>
      <w:pPr>
        <w:pBdr>
          <w:bottom w:val="single" w:color="D8DCDF" w:sz="6" w:space="1"/>
        </w:pBdr>
        <w:spacing w:after="200" w:before="200"/>
      </w:pPr>
    </w:p>
    <w:p>
      <w:pPr>
        <w:pStyle w:val="Heading1"/>
        <w:spacing w:after="120" w:before="280"/>
      </w:pPr>
      <w:r>
        <w:rPr>
          <w:rFonts w:ascii="Liberation Mono" w:cs="Liberation Mono" w:eastAsia="Liberation Mono" w:hAnsi="Liberation Mono"/>
          <w:b/>
          <w:bCs/>
          <w:color w:val="B3272A"/>
          <w:sz w:val="26"/>
          <w:szCs w:val="26"/>
        </w:rPr>
        <w:t xml:space="preserve">6. </w:t>
      </w:r>
      <w:r>
        <w:rPr>
          <w:rFonts w:ascii="Liberation Sans" w:cs="Liberation Sans" w:eastAsia="Liberation Sans" w:hAnsi="Liberation Sans"/>
          <w:b/>
          <w:bCs/>
          <w:color w:val="16202A"/>
          <w:sz w:val="26"/>
          <w:szCs w:val="26"/>
        </w:rPr>
        <w:t xml:space="preserve">Impact &amp; Measurement</w:t>
      </w:r>
    </w:p>
    <w:p>
      <w:pPr>
        <w:spacing w:after="40"/>
      </w:pPr>
      <w:r>
        <w:rPr>
          <w:rFonts w:ascii="Liberation Mono" w:cs="Liberation Mono" w:eastAsia="Liberation Mono" w:hAnsi="Liberation Mono"/>
          <w:b/>
          <w:bCs/>
          <w:color w:val="1F9D5A"/>
          <w:sz w:val="17"/>
          <w:szCs w:val="17"/>
        </w:rPr>
        <w:t xml:space="preserve">PASS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KPIs or measurable success criteria included.</w:t>
      </w:r>
    </w:p>
    <w:p>
      <w:pPr>
        <w:pStyle w:val="ListParagraph"/>
        <w:numPr>
          <w:ilvl w:val="0"/>
          <w:numId w:val="2"/>
        </w:numPr>
        <w:spacing w:after="60"/>
      </w:pPr>
      <w:r>
        <w:rPr>
          <w:rFonts w:ascii="Liberation Sans" w:cs="Liberation Sans" w:eastAsia="Liberation Sans" w:hAnsi="Liberation Sans"/>
          <w:color w:val="16202A"/>
          <w:sz w:val="21"/>
          <w:szCs w:val="21"/>
        </w:rPr>
        <w:t xml:space="preserve">Midpoint and final review methods defined.</w:t>
      </w:r>
    </w:p>
    <w:p>
      <w:pPr>
        <w:pStyle w:val="ListParagraph"/>
        <w:numPr>
          <w:ilvl w:val="0"/>
          <w:numId w:val="2"/>
        </w:numPr>
        <w:spacing w:after="60"/>
      </w:pPr>
      <w:r>
        <w:rPr>
          <w:rFonts w:ascii="Liberation Sans" w:cs="Liberation Sans" w:eastAsia="Liberation Sans" w:hAnsi="Liberation Sans"/>
          <w:color w:val="16202A"/>
          <w:sz w:val="21"/>
          <w:szCs w:val="21"/>
        </w:rPr>
        <w:t xml:space="preserve">Long-term/community value identified.</w:t>
      </w:r>
    </w:p>
    <w:p>
      <w:pPr>
        <w:spacing w:after="40" w:before="120"/>
      </w:pPr>
      <w:r>
        <w:rPr>
          <w:rFonts w:ascii="Liberation Mono" w:cs="Liberation Mono" w:eastAsia="Liberation Mono" w:hAnsi="Liberation Mono"/>
          <w:b/>
          <w:bCs/>
          <w:color w:val="B4890A"/>
          <w:sz w:val="17"/>
          <w:szCs w:val="17"/>
        </w:rPr>
        <w:t xml:space="preserve">FLAG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Flag if no success criteria or only short-term focus.</w:t>
      </w:r>
    </w:p>
    <w:p>
      <w:pPr>
        <w:spacing w:after="20" w:before="140"/>
      </w:pPr>
      <w:r>
        <w:rPr>
          <w:rFonts w:ascii="Liberation Mono" w:cs="Liberation Mono" w:eastAsia="Liberation Mono" w:hAnsi="Liberation Mono"/>
          <w:b/>
          <w:bCs/>
          <w:color w:val="FFFFFF"/>
          <w:sz w:val="15"/>
          <w:szCs w:val="15"/>
          <w:shd w:fill="5B6670" w:val="clear"/>
        </w:rPr>
        <w:t xml:space="preserve">NO CLEAN ANCHOR  </w:t>
      </w:r>
      <w:r>
        <w:rPr>
          <w:rFonts w:ascii="Liberation Sans" w:cs="Liberation Sans" w:eastAsia="Liberation Sans" w:hAnsi="Liberation Sans"/>
          <w:b/>
          <w:bCs/>
          <w:color w:val="16202A"/>
          <w:sz w:val="19"/>
          <w:szCs w:val="19"/>
        </w:rPr>
        <w:t xml:space="preserve">  Constitution anchor: </w:t>
      </w:r>
      <w:r>
        <w:rPr>
          <w:rFonts w:ascii="Liberation Sans" w:cs="Liberation Sans" w:eastAsia="Liberation Sans" w:hAnsi="Liberation Sans"/>
          <w:b/>
          <w:bCs/>
          <w:color w:val="B3272A"/>
          <w:sz w:val="19"/>
          <w:szCs w:val="19"/>
        </w:rPr>
        <w:t xml:space="preserve">No Constitution section sets a KPI or review-cadence standard.</w:t>
      </w:r>
    </w:p>
    <w:p>
      <w:pPr>
        <w:spacing w:after="100"/>
      </w:pPr>
      <w:r>
        <w:rPr>
          <w:rFonts w:ascii="Liberation Sans" w:cs="Liberation Sans" w:eastAsia="Liberation Sans" w:hAnsi="Liberation Sans"/>
          <w:color w:val="5B6670"/>
          <w:sz w:val="19"/>
          <w:szCs w:val="19"/>
        </w:rPr>
        <w:t xml:space="preserve">Section 6.1 covers DAO-level treasury reporting. That is not the same as project-level success metrics on one proposal, so it is not treated as a match here.</w:t>
      </w:r>
    </w:p>
    <w:p>
      <w:pPr>
        <w:pBdr>
          <w:bottom w:val="single" w:color="D8DCDF" w:sz="6" w:space="1"/>
        </w:pBdr>
        <w:spacing w:after="200" w:before="200"/>
      </w:pPr>
    </w:p>
    <w:p>
      <w:pPr>
        <w:pStyle w:val="Heading1"/>
        <w:spacing w:after="120" w:before="280"/>
      </w:pPr>
      <w:r>
        <w:rPr>
          <w:rFonts w:ascii="Liberation Mono" w:cs="Liberation Mono" w:eastAsia="Liberation Mono" w:hAnsi="Liberation Mono"/>
          <w:b/>
          <w:bCs/>
          <w:color w:val="B3272A"/>
          <w:sz w:val="26"/>
          <w:szCs w:val="26"/>
        </w:rPr>
        <w:t xml:space="preserve">7. </w:t>
      </w:r>
      <w:r>
        <w:rPr>
          <w:rFonts w:ascii="Liberation Sans" w:cs="Liberation Sans" w:eastAsia="Liberation Sans" w:hAnsi="Liberation Sans"/>
          <w:b/>
          <w:bCs/>
          <w:color w:val="16202A"/>
          <w:sz w:val="26"/>
          <w:szCs w:val="26"/>
        </w:rPr>
        <w:t xml:space="preserve">Risk &amp; Mitigation</w:t>
      </w:r>
    </w:p>
    <w:p>
      <w:pPr>
        <w:spacing w:after="40"/>
      </w:pPr>
      <w:r>
        <w:rPr>
          <w:rFonts w:ascii="Liberation Mono" w:cs="Liberation Mono" w:eastAsia="Liberation Mono" w:hAnsi="Liberation Mono"/>
          <w:b/>
          <w:bCs/>
          <w:color w:val="1F9D5A"/>
          <w:sz w:val="17"/>
          <w:szCs w:val="17"/>
        </w:rPr>
        <w:t xml:space="preserve">PASS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Key risks identified.</w:t>
      </w:r>
    </w:p>
    <w:p>
      <w:pPr>
        <w:pStyle w:val="ListParagraph"/>
        <w:numPr>
          <w:ilvl w:val="0"/>
          <w:numId w:val="2"/>
        </w:numPr>
        <w:spacing w:after="60"/>
      </w:pPr>
      <w:r>
        <w:rPr>
          <w:rFonts w:ascii="Liberation Sans" w:cs="Liberation Sans" w:eastAsia="Liberation Sans" w:hAnsi="Liberation Sans"/>
          <w:color w:val="16202A"/>
          <w:sz w:val="21"/>
          <w:szCs w:val="21"/>
        </w:rPr>
        <w:t xml:space="preserve">Mitigation strategies outlined.</w:t>
      </w:r>
    </w:p>
    <w:p>
      <w:pPr>
        <w:spacing w:after="40" w:before="120"/>
      </w:pPr>
      <w:r>
        <w:rPr>
          <w:rFonts w:ascii="Liberation Mono" w:cs="Liberation Mono" w:eastAsia="Liberation Mono" w:hAnsi="Liberation Mono"/>
          <w:b/>
          <w:bCs/>
          <w:color w:val="B4890A"/>
          <w:sz w:val="17"/>
          <w:szCs w:val="17"/>
        </w:rPr>
        <w:t xml:space="preserve">FLAG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Flag if no risks or mitigation described.</w:t>
      </w:r>
    </w:p>
    <w:p>
      <w:pPr>
        <w:spacing w:after="20" w:before="140"/>
      </w:pPr>
      <w:r>
        <w:rPr>
          <w:rFonts w:ascii="Liberation Mono" w:cs="Liberation Mono" w:eastAsia="Liberation Mono" w:hAnsi="Liberation Mono"/>
          <w:b/>
          <w:bCs/>
          <w:color w:val="FFFFFF"/>
          <w:sz w:val="15"/>
          <w:szCs w:val="15"/>
          <w:shd w:fill="5B6670" w:val="clear"/>
        </w:rPr>
        <w:t xml:space="preserve">NO CLEAN ANCHOR  </w:t>
      </w:r>
      <w:r>
        <w:rPr>
          <w:rFonts w:ascii="Liberation Sans" w:cs="Liberation Sans" w:eastAsia="Liberation Sans" w:hAnsi="Liberation Sans"/>
          <w:b/>
          <w:bCs/>
          <w:color w:val="16202A"/>
          <w:sz w:val="19"/>
          <w:szCs w:val="19"/>
        </w:rPr>
        <w:t xml:space="preserve">  Constitution anchor: </w:t>
      </w:r>
      <w:r>
        <w:rPr>
          <w:rFonts w:ascii="Liberation Sans" w:cs="Liberation Sans" w:eastAsia="Liberation Sans" w:hAnsi="Liberation Sans"/>
          <w:b/>
          <w:bCs/>
          <w:color w:val="B3272A"/>
          <w:sz w:val="19"/>
          <w:szCs w:val="19"/>
        </w:rPr>
        <w:t xml:space="preserve">The Constitution does not require a risk section on proposals.</w:t>
      </w:r>
    </w:p>
    <w:p>
      <w:pPr>
        <w:spacing w:after="100"/>
      </w:pPr>
      <w:r>
        <w:rPr>
          <w:rFonts w:ascii="Liberation Sans" w:cs="Liberation Sans" w:eastAsia="Liberation Sans" w:hAnsi="Liberation Sans"/>
          <w:color w:val="5B6670"/>
          <w:sz w:val="19"/>
          <w:szCs w:val="19"/>
        </w:rPr>
        <w:t xml:space="preserve">No section addresses risk disclosure or mitigation planning at the individual-proposal level.</w:t>
      </w:r>
    </w:p>
    <w:p>
      <w:pPr>
        <w:pBdr>
          <w:bottom w:val="single" w:color="D8DCDF" w:sz="6" w:space="1"/>
        </w:pBdr>
        <w:spacing w:after="200" w:before="200"/>
      </w:pPr>
    </w:p>
    <w:p>
      <w:pPr>
        <w:pStyle w:val="Heading1"/>
        <w:spacing w:after="120" w:before="280"/>
      </w:pPr>
      <w:r>
        <w:rPr>
          <w:rFonts w:ascii="Liberation Mono" w:cs="Liberation Mono" w:eastAsia="Liberation Mono" w:hAnsi="Liberation Mono"/>
          <w:b/>
          <w:bCs/>
          <w:color w:val="B3272A"/>
          <w:sz w:val="26"/>
          <w:szCs w:val="26"/>
        </w:rPr>
        <w:t xml:space="preserve">8. </w:t>
      </w:r>
      <w:r>
        <w:rPr>
          <w:rFonts w:ascii="Liberation Sans" w:cs="Liberation Sans" w:eastAsia="Liberation Sans" w:hAnsi="Liberation Sans"/>
          <w:b/>
          <w:bCs/>
          <w:color w:val="16202A"/>
          <w:sz w:val="26"/>
          <w:szCs w:val="26"/>
        </w:rPr>
        <w:t xml:space="preserve">Co-Funding &amp; Leverage</w:t>
      </w:r>
    </w:p>
    <w:p>
      <w:pPr>
        <w:spacing w:after="40"/>
      </w:pPr>
      <w:r>
        <w:rPr>
          <w:rFonts w:ascii="Liberation Mono" w:cs="Liberation Mono" w:eastAsia="Liberation Mono" w:hAnsi="Liberation Mono"/>
          <w:b/>
          <w:bCs/>
          <w:color w:val="1F9D5A"/>
          <w:sz w:val="17"/>
          <w:szCs w:val="17"/>
        </w:rPr>
        <w:t xml:space="preserve">PASS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Matching funds, sponsorships, or in-kind contributions noted.</w:t>
      </w:r>
    </w:p>
    <w:p>
      <w:pPr>
        <w:spacing w:after="40" w:before="120"/>
      </w:pPr>
      <w:r>
        <w:rPr>
          <w:rFonts w:ascii="Liberation Mono" w:cs="Liberation Mono" w:eastAsia="Liberation Mono" w:hAnsi="Liberation Mono"/>
          <w:b/>
          <w:bCs/>
          <w:color w:val="B4890A"/>
          <w:sz w:val="17"/>
          <w:szCs w:val="17"/>
        </w:rPr>
        <w:t xml:space="preserve">FLAG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Flag if no leverage (not a dealbreaker, but relevant).</w:t>
      </w:r>
    </w:p>
    <w:p>
      <w:pPr>
        <w:spacing w:after="20" w:before="140"/>
      </w:pPr>
      <w:r>
        <w:rPr>
          <w:rFonts w:ascii="Liberation Mono" w:cs="Liberation Mono" w:eastAsia="Liberation Mono" w:hAnsi="Liberation Mono"/>
          <w:b/>
          <w:bCs/>
          <w:color w:val="FFFFFF"/>
          <w:sz w:val="15"/>
          <w:szCs w:val="15"/>
          <w:shd w:fill="5B6670" w:val="clear"/>
        </w:rPr>
        <w:t xml:space="preserve">NO CLEAN ANCHOR  </w:t>
      </w:r>
      <w:r>
        <w:rPr>
          <w:rFonts w:ascii="Liberation Sans" w:cs="Liberation Sans" w:eastAsia="Liberation Sans" w:hAnsi="Liberation Sans"/>
          <w:b/>
          <w:bCs/>
          <w:color w:val="16202A"/>
          <w:sz w:val="19"/>
          <w:szCs w:val="19"/>
        </w:rPr>
        <w:t xml:space="preserve">  Constitution anchor: </w:t>
      </w:r>
      <w:r>
        <w:rPr>
          <w:rFonts w:ascii="Liberation Sans" w:cs="Liberation Sans" w:eastAsia="Liberation Sans" w:hAnsi="Liberation Sans"/>
          <w:b/>
          <w:bCs/>
          <w:color w:val="B3272A"/>
          <w:sz w:val="19"/>
          <w:szCs w:val="19"/>
        </w:rPr>
        <w:t xml:space="preserve">Co-funding is not addressed anywhere in the Constitution.</w:t>
      </w:r>
    </w:p>
    <w:p>
      <w:pPr>
        <w:spacing w:after="100"/>
      </w:pPr>
      <w:r>
        <w:rPr>
          <w:rFonts w:ascii="Liberation Sans" w:cs="Liberation Sans" w:eastAsia="Liberation Sans" w:hAnsi="Liberation Sans"/>
          <w:color w:val="5B6670"/>
          <w:sz w:val="19"/>
          <w:szCs w:val="19"/>
        </w:rPr>
        <w:t xml:space="preserve">Treat this criterion as a reviewer note, not a constitutional test.</w:t>
      </w:r>
    </w:p>
    <w:p>
      <w:pPr>
        <w:pBdr>
          <w:bottom w:val="single" w:color="D8DCDF" w:sz="6" w:space="1"/>
        </w:pBdr>
        <w:spacing w:after="200" w:before="200"/>
      </w:pPr>
    </w:p>
    <w:p>
      <w:pPr>
        <w:pStyle w:val="Heading1"/>
        <w:spacing w:after="120" w:before="280"/>
      </w:pPr>
      <w:r>
        <w:rPr>
          <w:rFonts w:ascii="Liberation Mono" w:cs="Liberation Mono" w:eastAsia="Liberation Mono" w:hAnsi="Liberation Mono"/>
          <w:b/>
          <w:bCs/>
          <w:color w:val="B3272A"/>
          <w:sz w:val="26"/>
          <w:szCs w:val="26"/>
        </w:rPr>
        <w:t xml:space="preserve">9. </w:t>
      </w:r>
      <w:r>
        <w:rPr>
          <w:rFonts w:ascii="Liberation Sans" w:cs="Liberation Sans" w:eastAsia="Liberation Sans" w:hAnsi="Liberation Sans"/>
          <w:b/>
          <w:bCs/>
          <w:color w:val="16202A"/>
          <w:sz w:val="26"/>
          <w:szCs w:val="26"/>
        </w:rPr>
        <w:t xml:space="preserve">Contribution Equity</w:t>
      </w:r>
    </w:p>
    <w:p>
      <w:pPr>
        <w:spacing w:after="40"/>
      </w:pPr>
      <w:r>
        <w:rPr>
          <w:rFonts w:ascii="Liberation Mono" w:cs="Liberation Mono" w:eastAsia="Liberation Mono" w:hAnsi="Liberation Mono"/>
          <w:b/>
          <w:bCs/>
          <w:color w:val="1F9D5A"/>
          <w:sz w:val="17"/>
          <w:szCs w:val="17"/>
        </w:rPr>
        <w:t xml:space="preserve">PASS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No single contributor dominating payouts.</w:t>
      </w:r>
    </w:p>
    <w:p>
      <w:pPr>
        <w:pStyle w:val="ListParagraph"/>
        <w:numPr>
          <w:ilvl w:val="0"/>
          <w:numId w:val="2"/>
        </w:numPr>
        <w:spacing w:after="60"/>
      </w:pPr>
      <w:r>
        <w:rPr>
          <w:rFonts w:ascii="Liberation Sans" w:cs="Liberation Sans" w:eastAsia="Liberation Sans" w:hAnsi="Liberation Sans"/>
          <w:color w:val="16202A"/>
          <w:sz w:val="21"/>
          <w:szCs w:val="21"/>
        </w:rPr>
        <w:t xml:space="preserve">Proposer not holding multiple paid lead roles without justification.</w:t>
      </w:r>
    </w:p>
    <w:p>
      <w:pPr>
        <w:spacing w:after="40" w:before="120"/>
      </w:pPr>
      <w:r>
        <w:rPr>
          <w:rFonts w:ascii="Liberation Mono" w:cs="Liberation Mono" w:eastAsia="Liberation Mono" w:hAnsi="Liberation Mono"/>
          <w:b/>
          <w:bCs/>
          <w:color w:val="B4890A"/>
          <w:sz w:val="17"/>
          <w:szCs w:val="17"/>
        </w:rPr>
        <w:t xml:space="preserve">FLAG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Flag if payouts concentrated with same individual(s).</w:t>
      </w:r>
    </w:p>
    <w:p>
      <w:pPr>
        <w:spacing w:after="20" w:before="140"/>
      </w:pPr>
      <w:r>
        <w:rPr>
          <w:rFonts w:ascii="Liberation Mono" w:cs="Liberation Mono" w:eastAsia="Liberation Mono" w:hAnsi="Liberation Mono"/>
          <w:b/>
          <w:bCs/>
          <w:color w:val="16202A"/>
          <w:sz w:val="15"/>
          <w:szCs w:val="15"/>
          <w:shd w:fill="86EFAC" w:val="clear"/>
        </w:rPr>
        <w:t xml:space="preserve">CLEAN MATCH  </w:t>
      </w:r>
      <w:r>
        <w:rPr>
          <w:rFonts w:ascii="Liberation Sans" w:cs="Liberation Sans" w:eastAsia="Liberation Sans" w:hAnsi="Liberation Sans"/>
          <w:b/>
          <w:bCs/>
          <w:color w:val="16202A"/>
          <w:sz w:val="19"/>
          <w:szCs w:val="19"/>
        </w:rPr>
        <w:t xml:space="preserve">  Constitution anchor: </w:t>
      </w:r>
      <w:hyperlink w:history="1" r:id="rIdga1uoykgjsv3vln5p_pti">
        <w:r>
          <w:rPr>
            <w:rFonts w:ascii="Liberation Sans" w:cs="Liberation Sans" w:eastAsia="Liberation Sans" w:hAnsi="Liberation Sans"/>
            <w:b/>
            <w:bCs/>
            <w:color w:val="B3272A"/>
            <w:sz w:val="19"/>
            <w:szCs w:val="19"/>
            <w:u w:val="single"/>
          </w:rPr>
          <w:t xml:space="preserve">Section 5, Conflict of Interest Policy.</w:t>
        </w:r>
      </w:hyperlink>
    </w:p>
    <w:p>
      <w:pPr>
        <w:spacing w:after="100"/>
      </w:pPr>
      <w:r>
        <w:rPr>
          <w:rFonts w:ascii="Liberation Sans" w:cs="Liberation Sans" w:eastAsia="Liberation Sans" w:hAnsi="Liberation Sans"/>
          <w:color w:val="5B6670"/>
          <w:sz w:val="19"/>
          <w:szCs w:val="19"/>
        </w:rPr>
        <w:t xml:space="preserve">“One paid role per individual per quarter” maps directly to this criterion's payout-concentration test.</w:t>
      </w:r>
    </w:p>
    <w:p>
      <w:pPr>
        <w:pBdr>
          <w:bottom w:val="single" w:color="D8DCDF" w:sz="6" w:space="1"/>
        </w:pBdr>
        <w:spacing w:after="200" w:before="200"/>
      </w:pPr>
    </w:p>
    <w:p>
      <w:pPr>
        <w:pStyle w:val="Heading1"/>
        <w:spacing w:after="120" w:before="280"/>
      </w:pPr>
      <w:r>
        <w:rPr>
          <w:rFonts w:ascii="Liberation Mono" w:cs="Liberation Mono" w:eastAsia="Liberation Mono" w:hAnsi="Liberation Mono"/>
          <w:b/>
          <w:bCs/>
          <w:color w:val="B3272A"/>
          <w:sz w:val="26"/>
          <w:szCs w:val="26"/>
        </w:rPr>
        <w:t xml:space="preserve">10. </w:t>
      </w:r>
      <w:r>
        <w:rPr>
          <w:rFonts w:ascii="Liberation Sans" w:cs="Liberation Sans" w:eastAsia="Liberation Sans" w:hAnsi="Liberation Sans"/>
          <w:b/>
          <w:bCs/>
          <w:color w:val="16202A"/>
          <w:sz w:val="26"/>
          <w:szCs w:val="26"/>
        </w:rPr>
        <w:t xml:space="preserve">Compliance &amp; Ethical Standards</w:t>
      </w:r>
    </w:p>
    <w:p>
      <w:pPr>
        <w:spacing w:after="40"/>
      </w:pPr>
      <w:r>
        <w:rPr>
          <w:rFonts w:ascii="Liberation Mono" w:cs="Liberation Mono" w:eastAsia="Liberation Mono" w:hAnsi="Liberation Mono"/>
          <w:b/>
          <w:bCs/>
          <w:color w:val="1F9D5A"/>
          <w:sz w:val="17"/>
          <w:szCs w:val="17"/>
        </w:rPr>
        <w:t xml:space="preserve">PASS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No regulatory/reputational risks.</w:t>
      </w:r>
    </w:p>
    <w:p>
      <w:pPr>
        <w:pStyle w:val="ListParagraph"/>
        <w:numPr>
          <w:ilvl w:val="0"/>
          <w:numId w:val="2"/>
        </w:numPr>
        <w:spacing w:after="60"/>
      </w:pPr>
      <w:r>
        <w:rPr>
          <w:rFonts w:ascii="Liberation Sans" w:cs="Liberation Sans" w:eastAsia="Liberation Sans" w:hAnsi="Liberation Sans"/>
          <w:color w:val="16202A"/>
          <w:sz w:val="21"/>
          <w:szCs w:val="21"/>
        </w:rPr>
        <w:t xml:space="preserve">Consistency with DAO's code of conduct.</w:t>
      </w:r>
    </w:p>
    <w:p>
      <w:pPr>
        <w:spacing w:after="40" w:before="120"/>
      </w:pPr>
      <w:r>
        <w:rPr>
          <w:rFonts w:ascii="Liberation Mono" w:cs="Liberation Mono" w:eastAsia="Liberation Mono" w:hAnsi="Liberation Mono"/>
          <w:b/>
          <w:bCs/>
          <w:color w:val="B4890A"/>
          <w:sz w:val="17"/>
          <w:szCs w:val="17"/>
        </w:rPr>
        <w:t xml:space="preserve">FLAG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Flag if unclear or non-compliant activities proposed.</w:t>
      </w:r>
    </w:p>
    <w:p>
      <w:pPr>
        <w:spacing w:after="20" w:before="140"/>
      </w:pPr>
      <w:r>
        <w:rPr>
          <w:rFonts w:ascii="Liberation Mono" w:cs="Liberation Mono" w:eastAsia="Liberation Mono" w:hAnsi="Liberation Mono"/>
          <w:b/>
          <w:bCs/>
          <w:color w:val="16202A"/>
          <w:sz w:val="15"/>
          <w:szCs w:val="15"/>
          <w:shd w:fill="86EFAC" w:val="clear"/>
        </w:rPr>
        <w:t xml:space="preserve">PRIMARY ANCHOR  </w:t>
      </w:r>
      <w:r>
        <w:rPr>
          <w:rFonts w:ascii="Liberation Sans" w:cs="Liberation Sans" w:eastAsia="Liberation Sans" w:hAnsi="Liberation Sans"/>
          <w:b/>
          <w:bCs/>
          <w:color w:val="16202A"/>
          <w:sz w:val="19"/>
          <w:szCs w:val="19"/>
        </w:rPr>
        <w:t xml:space="preserve">  Constitution anchor: </w:t>
      </w:r>
      <w:hyperlink w:history="1" r:id="rIdueccoih6npcwiwlz2loil">
        <w:r>
          <w:rPr>
            <w:rFonts w:ascii="Liberation Sans" w:cs="Liberation Sans" w:eastAsia="Liberation Sans" w:hAnsi="Liberation Sans"/>
            <w:b/>
            <w:bCs/>
            <w:color w:val="B3272A"/>
            <w:sz w:val="19"/>
            <w:szCs w:val="19"/>
            <w:u w:val="single"/>
          </w:rPr>
          <w:t xml:space="preserve">Code of Conduct v1.0 (Core Principles, Expected/Unacceptable Behaviors, Enforcement).</w:t>
        </w:r>
      </w:hyperlink>
    </w:p>
    <w:p>
      <w:pPr>
        <w:spacing w:after="100"/>
      </w:pPr>
      <w:r>
        <w:rPr>
          <w:rFonts w:ascii="Liberation Sans" w:cs="Liberation Sans" w:eastAsia="Liberation Sans" w:hAnsi="Liberation Sans"/>
          <w:color w:val="5B6670"/>
          <w:sz w:val="19"/>
          <w:szCs w:val="19"/>
        </w:rPr>
        <w:t xml:space="preserve">Constitution Section 5 applies loosely as a conflict-of-interest-adjacent backstop, but the Code of Conduct is the direct source for this criterion.</w:t>
      </w:r>
    </w:p>
    <w:p>
      <w:pPr>
        <w:pBdr>
          <w:bottom w:val="single" w:color="D8DCDF" w:sz="6" w:space="1"/>
        </w:pBdr>
        <w:spacing w:after="200" w:before="200"/>
      </w:pPr>
    </w:p>
    <w:p>
      <w:pPr>
        <w:pStyle w:val="Heading1"/>
        <w:spacing w:after="120" w:before="280"/>
      </w:pPr>
      <w:r>
        <w:rPr>
          <w:rFonts w:ascii="Liberation Mono" w:cs="Liberation Mono" w:eastAsia="Liberation Mono" w:hAnsi="Liberation Mono"/>
          <w:b/>
          <w:bCs/>
          <w:color w:val="B3272A"/>
          <w:sz w:val="26"/>
          <w:szCs w:val="26"/>
        </w:rPr>
        <w:t xml:space="preserve">11. </w:t>
      </w:r>
      <w:r>
        <w:rPr>
          <w:rFonts w:ascii="Liberation Sans" w:cs="Liberation Sans" w:eastAsia="Liberation Sans" w:hAnsi="Liberation Sans"/>
          <w:b/>
          <w:bCs/>
          <w:color w:val="16202A"/>
          <w:sz w:val="26"/>
          <w:szCs w:val="26"/>
        </w:rPr>
        <w:t xml:space="preserve">Community Involvement</w:t>
      </w:r>
    </w:p>
    <w:p>
      <w:pPr>
        <w:spacing w:after="40"/>
      </w:pPr>
      <w:r>
        <w:rPr>
          <w:rFonts w:ascii="Liberation Mono" w:cs="Liberation Mono" w:eastAsia="Liberation Mono" w:hAnsi="Liberation Mono"/>
          <w:b/>
          <w:bCs/>
          <w:color w:val="1F9D5A"/>
          <w:sz w:val="17"/>
          <w:szCs w:val="17"/>
        </w:rPr>
        <w:t xml:space="preserve">PASS WHEN</w:t>
      </w:r>
    </w:p>
    <w:p>
      <w:pPr>
        <w:pStyle w:val="ListParagraph"/>
        <w:numPr>
          <w:ilvl w:val="0"/>
          <w:numId w:val="2"/>
        </w:numPr>
        <w:spacing w:after="60"/>
      </w:pPr>
      <w:r>
        <w:rPr>
          <w:rFonts w:ascii="Liberation Sans" w:cs="Liberation Sans" w:eastAsia="Liberation Sans" w:hAnsi="Liberation Sans"/>
          <w:color w:val="16202A"/>
          <w:sz w:val="21"/>
          <w:szCs w:val="21"/>
        </w:rPr>
        <w:t xml:space="preserve">Evidence of discussion with community members.</w:t>
      </w:r>
    </w:p>
    <w:p>
      <w:pPr>
        <w:spacing w:after="40" w:before="120"/>
      </w:pPr>
      <w:r>
        <w:rPr>
          <w:rFonts w:ascii="Liberation Mono" w:cs="Liberation Mono" w:eastAsia="Liberation Mono" w:hAnsi="Liberation Mono"/>
          <w:b/>
          <w:bCs/>
          <w:color w:val="B4890A"/>
          <w:sz w:val="17"/>
          <w:szCs w:val="17"/>
        </w:rPr>
        <w:t xml:space="preserve">FLAG WHEN</w:t>
      </w:r>
    </w:p>
    <w:p>
      <w:pPr>
        <w:spacing w:after="60"/>
      </w:pPr>
      <w:r>
        <w:rPr>
          <w:rFonts w:ascii="Liberation Sans" w:cs="Liberation Sans" w:eastAsia="Liberation Sans" w:hAnsi="Liberation Sans"/>
          <w:i/>
          <w:iCs/>
          <w:color w:val="5B6670"/>
          <w:sz w:val="21"/>
          <w:szCs w:val="21"/>
        </w:rPr>
        <w:t xml:space="preserve">No flag condition given in the ratified text. This is the only criterion of the 11 without one. See Known Discrepancies, item 2.</w:t>
      </w:r>
    </w:p>
    <w:p>
      <w:pPr>
        <w:spacing w:after="20" w:before="140"/>
      </w:pPr>
      <w:r>
        <w:rPr>
          <w:rFonts w:ascii="Liberation Mono" w:cs="Liberation Mono" w:eastAsia="Liberation Mono" w:hAnsi="Liberation Mono"/>
          <w:b/>
          <w:bCs/>
          <w:color w:val="16202A"/>
          <w:sz w:val="15"/>
          <w:szCs w:val="15"/>
          <w:shd w:fill="86EFAC" w:val="clear"/>
        </w:rPr>
        <w:t xml:space="preserve">CLEAN MATCH  </w:t>
      </w:r>
      <w:r>
        <w:rPr>
          <w:rFonts w:ascii="Liberation Sans" w:cs="Liberation Sans" w:eastAsia="Liberation Sans" w:hAnsi="Liberation Sans"/>
          <w:b/>
          <w:bCs/>
          <w:color w:val="16202A"/>
          <w:sz w:val="19"/>
          <w:szCs w:val="19"/>
        </w:rPr>
        <w:t xml:space="preserve">  Constitution anchor: </w:t>
      </w:r>
      <w:hyperlink w:history="1" r:id="rIdlncz9yfcdy08xmqwrnwfu">
        <w:r>
          <w:rPr>
            <w:rFonts w:ascii="Liberation Sans" w:cs="Liberation Sans" w:eastAsia="Liberation Sans" w:hAnsi="Liberation Sans"/>
            <w:b/>
            <w:bCs/>
            <w:color w:val="B3272A"/>
            <w:sz w:val="19"/>
            <w:szCs w:val="19"/>
            <w:u w:val="single"/>
          </w:rPr>
          <w:t xml:space="preserve">Section 8, Community Involvement.</w:t>
        </w:r>
      </w:hyperlink>
    </w:p>
    <w:p>
      <w:pPr>
        <w:spacing w:after="100"/>
      </w:pPr>
      <w:r>
        <w:rPr>
          <w:rFonts w:ascii="Liberation Sans" w:cs="Liberation Sans" w:eastAsia="Liberation Sans" w:hAnsi="Liberation Sans"/>
          <w:color w:val="5B6670"/>
          <w:sz w:val="19"/>
          <w:szCs w:val="19"/>
        </w:rPr>
        <w:t xml:space="preserve">Section 4.1 step 3, Cross-Pod Feedback via Discord with a 3-day window, is the process this criterion checks for evidence of.</w:t>
      </w:r>
    </w:p>
    <w:p>
      <w:pPr>
        <w:pBdr>
          <w:bottom w:val="single" w:color="D8DCDF" w:sz="6" w:space="1"/>
        </w:pBdr>
        <w:spacing w:after="200" w:before="200"/>
      </w:pPr>
    </w:p>
    <w:p>
      <w:pPr>
        <w:pStyle w:val="Heading1"/>
        <w:spacing w:after="140" w:before="200"/>
      </w:pPr>
      <w:r>
        <w:rPr>
          <w:rFonts w:ascii="Liberation Sans" w:cs="Liberation Sans" w:eastAsia="Liberation Sans" w:hAnsi="Liberation Sans"/>
          <w:b/>
          <w:bCs/>
          <w:color w:val="16202A"/>
          <w:sz w:val="26"/>
          <w:szCs w:val="26"/>
        </w:rPr>
        <w:t xml:space="preserve">Known Discrepancies</w:t>
      </w:r>
    </w:p>
    <w:p>
      <w:pPr>
        <w:spacing w:after="40"/>
      </w:pPr>
      <w:r>
        <w:rPr>
          <w:rFonts w:ascii="Liberation Sans" w:cs="Liberation Sans" w:eastAsia="Liberation Sans" w:hAnsi="Liberation Sans"/>
          <w:b/>
          <w:bCs/>
          <w:color w:val="16202A"/>
          <w:sz w:val="20"/>
          <w:szCs w:val="20"/>
        </w:rPr>
        <w:t xml:space="preserve">1. Three working groups vs. five pods. </w:t>
      </w:r>
      <w:r>
        <w:rPr>
          <w:rFonts w:ascii="Liberation Sans" w:cs="Liberation Sans" w:eastAsia="Liberation Sans" w:hAnsi="Liberation Sans"/>
          <w:color w:val="16202A"/>
          <w:sz w:val="19"/>
          <w:szCs w:val="19"/>
        </w:rPr>
        <w:t xml:space="preserve">Criterion 3 (Strategic Fit) checks alignment with “one of the three working groups (Community, Marketing, Developers/Builders).” Constitution Section 3 ratifies five: Marketing, Builder/Develop, Researcher, Community, Partnerships. Both texts are ratified DAO governance. This rubric does not silently pick one. A proposal aligned with Researcher or Partnerships passes Section 3 of the Constitution but fails a literal reading of Criterion 3. Pod leaders need to resolve which text governs, or amend the checklist to match the Constitution.</w:t>
      </w:r>
    </w:p>
    <w:p>
      <w:pPr>
        <w:spacing w:after="40"/>
      </w:pPr>
      <w:r>
        <w:rPr>
          <w:rFonts w:ascii="Liberation Sans" w:cs="Liberation Sans" w:eastAsia="Liberation Sans" w:hAnsi="Liberation Sans"/>
          <w:b/>
          <w:bCs/>
          <w:color w:val="16202A"/>
          <w:sz w:val="20"/>
          <w:szCs w:val="20"/>
        </w:rPr>
        <w:t xml:space="preserve">2. Criterion 11 has no flag condition. </w:t>
      </w:r>
      <w:r>
        <w:rPr>
          <w:rFonts w:ascii="Liberation Sans" w:cs="Liberation Sans" w:eastAsia="Liberation Sans" w:hAnsi="Liberation Sans"/>
          <w:color w:val="16202A"/>
          <w:sz w:val="19"/>
          <w:szCs w:val="19"/>
        </w:rPr>
        <w:t xml:space="preserve">Every other criterion (1 through 10) pairs its pass condition with an explicit “Flag if…” line. Criterion 11 (Community Involvement) ends after “Evidence of discussion with community members.” This was checked against the full ratified text; it is not a capture gap. Until pod leaders add a flag condition, this criterion cannot fail a proposal on its own, and the pre-screening flow treats it as informational only.</w:t>
      </w:r>
    </w:p>
    <w:p>
      <w:pPr>
        <w:pBdr>
          <w:bottom w:val="single" w:color="D8DCDF" w:sz="6" w:space="1"/>
        </w:pBdr>
        <w:spacing w:after="200" w:before="200"/>
      </w:pPr>
    </w:p>
    <w:p>
      <w:pPr>
        <w:spacing w:before="80"/>
        <w:jc w:val="center"/>
      </w:pPr>
      <w:r>
        <w:drawing>
          <wp:inline distT="0" distB="0" distL="0" distR="0">
            <wp:extent cx="75247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2475" cy="533400"/>
                    </a:xfrm>
                    <a:prstGeom prst="rect">
                      <a:avLst/>
                    </a:prstGeom>
                  </pic:spPr>
                </pic:pic>
              </a:graphicData>
            </a:graphic>
          </wp:inline>
        </w:drawing>
      </w:r>
    </w:p>
    <w:p>
      <w:pPr>
        <w:spacing w:before="60"/>
        <w:jc w:val="center"/>
      </w:pPr>
      <w:r>
        <w:rPr>
          <w:rFonts w:ascii="Liberation Mono" w:cs="Liberation Mono" w:eastAsia="Liberation Mono" w:hAnsi="Liberation Mono"/>
          <w:color w:val="5B6670"/>
          <w:sz w:val="14"/>
          <w:szCs w:val="14"/>
        </w:rPr>
        <w:t xml:space="preserve">End of TASK-25 Proposal Evaluation Rubric</w:t>
      </w:r>
    </w:p>
    <w:sectPr>
      <w:footerReference w:type="default" r:id="rId7"/>
      <w:pgSz w:w="11906" w:h="16838" w:orient="portrait"/>
      <w:pgMar w:top="720" w:right="1296" w:bottom="1008"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Mono" w:cs="Liberation Mono" w:eastAsia="Liberation Mono" w:hAnsi="Liberation Mono"/>
        <w:color w:val="5B6670"/>
        <w:sz w:val="15"/>
        <w:szCs w:val="15"/>
      </w:rPr>
      <w:t xml:space="preserve">TASK-25: Proposal Evaluation Rubric   ·   Page </w:t>
    </w:r>
    <w:r>
      <w:rPr>
        <w:rFonts w:ascii="Liberation Mono" w:cs="Liberation Mono" w:eastAsia="Liberation Mono" w:hAnsi="Liberation Mono"/>
        <w:color w:val="5B6670"/>
        <w:sz w:val="15"/>
        <w:szCs w:val="15"/>
      </w:rPr>
      <w:fldChar w:fldCharType="begin"/>
      <w:instrText xml:space="preserve">PAGE</w:instrText>
      <w:fldChar w:fldCharType="separate"/>
      <w:fldChar w:fldCharType="end"/>
    </w:r>
    <w:r>
      <w:rPr>
        <w:rFonts w:ascii="Liberation Mono" w:cs="Liberation Mono" w:eastAsia="Liberation Mono" w:hAnsi="Liberation Mono"/>
        <w:color w:val="5B6670"/>
        <w:sz w:val="15"/>
        <w:szCs w:val="15"/>
      </w:rPr>
      <w:t xml:space="preserve"> of </w:t>
    </w:r>
    <w:r>
      <w:rPr>
        <w:rFonts w:ascii="Liberation Mono" w:cs="Liberation Mono" w:eastAsia="Liberation Mono" w:hAnsi="Liberation Mono"/>
        <w:color w:val="5B66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ans" w:cs="Liberation Sans" w:eastAsia="Liberation Sans" w:hAnsi="Liberation Sans"/>
        <w:color w:val="162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_ggmp3unj-6myytsymua" Type="http://schemas.openxmlformats.org/officeDocument/2006/relationships/hyperlink" Target="https://snapshot.box/#/s:rbnt.eth/proposal/0xf2a05384e37a710c1600db1abbac9b4dc66444a56a1ed49df7f0e3dbfd7570e7" TargetMode="External"/><Relationship Id="rIdcmedglvhwtkymy1qa_c_f" Type="http://schemas.openxmlformats.org/officeDocument/2006/relationships/hyperlink" Target="https://firebasestorage.googleapis.com/v0/b/redbelly-community-dao.firebasestorage.app/o/resources%2F1762476390856-Redbelly%20Community%20DAO%20Constitution%20v1.2%20-%20Ratified.pdf?alt=media&amp;token=c89ccef9-cc7c-4a37-9b43-a3fac9e49ddc" TargetMode="External"/><Relationship Id="rId7kmgnu6rmdgtjxavtj4rm" Type="http://schemas.openxmlformats.org/officeDocument/2006/relationships/hyperlink" Target="https://firebasestorage.googleapis.com/v0/b/redbelly-community-dao.firebasestorage.app/o/resources%2F1762476540292-Redbelly%20Community%20DAO%20Code%20of%20Conduct%20-%20Ratified.pdf?alt=media&amp;token=84ca2c33-a502-4991-9720-4e6154847416" TargetMode="External"/><Relationship Id="rIdxjhtw-fyjstsfu2swzh7o" Type="http://schemas.openxmlformats.org/officeDocument/2006/relationships/hyperlink" Target="https://firebasestorage.googleapis.com/v0/b/redbelly-community-dao.firebasestorage.app/o/resources%2F1762476390856-Redbelly%20Community%20DAO%20Constitution%20v1.2%20-%20Ratified.pdf?alt=media&amp;token=c89ccef9-cc7c-4a37-9b43-a3fac9e49ddc" TargetMode="External"/><Relationship Id="rIdvh523e32gfqzkupzoi_jr" Type="http://schemas.openxmlformats.org/officeDocument/2006/relationships/hyperlink" Target="https://firebasestorage.googleapis.com/v0/b/redbelly-community-dao.firebasestorage.app/o/resources%2F1762476390856-Redbelly%20Community%20DAO%20Constitution%20v1.2%20-%20Ratified.pdf?alt=media&amp;token=c89ccef9-cc7c-4a37-9b43-a3fac9e49ddc" TargetMode="External"/><Relationship Id="rId5b5tzr99eysyjrf4pzxq8" Type="http://schemas.openxmlformats.org/officeDocument/2006/relationships/hyperlink" Target="https://firebasestorage.googleapis.com/v0/b/redbelly-community-dao.firebasestorage.app/o/resources%2F1762476390856-Redbelly%20Community%20DAO%20Constitution%20v1.2%20-%20Ratified.pdf?alt=media&amp;token=c89ccef9-cc7c-4a37-9b43-a3fac9e49ddc" TargetMode="External"/><Relationship Id="rIdsxqtcv9vzkgeqzcxbkvrg" Type="http://schemas.openxmlformats.org/officeDocument/2006/relationships/hyperlink" Target="https://firebasestorage.googleapis.com/v0/b/redbelly-community-dao.firebasestorage.app/o/resources%2F1762476390856-Redbelly%20Community%20DAO%20Constitution%20v1.2%20-%20Ratified.pdf?alt=media&amp;token=c89ccef9-cc7c-4a37-9b43-a3fac9e49ddc" TargetMode="External"/><Relationship Id="rIdga1uoykgjsv3vln5p_pti" Type="http://schemas.openxmlformats.org/officeDocument/2006/relationships/hyperlink" Target="https://firebasestorage.googleapis.com/v0/b/redbelly-community-dao.firebasestorage.app/o/resources%2F1762476390856-Redbelly%20Community%20DAO%20Constitution%20v1.2%20-%20Ratified.pdf?alt=media&amp;token=c89ccef9-cc7c-4a37-9b43-a3fac9e49ddc" TargetMode="External"/><Relationship Id="rIdueccoih6npcwiwlz2loil" Type="http://schemas.openxmlformats.org/officeDocument/2006/relationships/hyperlink" Target="https://firebasestorage.googleapis.com/v0/b/redbelly-community-dao.firebasestorage.app/o/resources%2F1762476540292-Redbelly%20Community%20DAO%20Code%20of%20Conduct%20-%20Ratified.pdf?alt=media&amp;token=84ca2c33-a502-4991-9720-4e6154847416" TargetMode="External"/><Relationship Id="rIdlncz9yfcdy08xmqwrnwfu" Type="http://schemas.openxmlformats.org/officeDocument/2006/relationships/hyperlink" Target="https://firebasestorage.googleapis.com/v0/b/redbelly-community-dao.firebasestorage.app/o/resources%2F1762476390856-Redbelly%20Community%20DAO%20Constitution%20v1.2%20-%20Ratified.pdf?alt=media&amp;token=c89ccef9-cc7c-4a37-9b43-a3fac9e49ddc" TargetMode="External"/><Relationship Id="rId8" Type="http://schemas.openxmlformats.org/officeDocument/2006/relationships/image" Target="media/c201776789e02151cfb3852392db8c74f8c1187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2026-08-17T06:18:53.532Z</dcterms:created>
  <dcterms:modified xsi:type="dcterms:W3CDTF">2026-08-17T06:18:53.545Z</dcterms:modified>
</cp:coreProperties>
</file>

<file path=docProps/custom.xml><?xml version="1.0" encoding="utf-8"?>
<Properties xmlns="http://schemas.openxmlformats.org/officeDocument/2006/custom-properties" xmlns:vt="http://schemas.openxmlformats.org/officeDocument/2006/docPropsVTypes"/>
</file>