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009C9C"/>
          <w:sz w:val="18"/>
        </w:rPr>
        <w:t>SCRIPT AND FACT CHECK</w:t>
      </w:r>
    </w:p>
    <w:p>
      <w:pPr>
        <w:spacing w:after="40"/>
      </w:pPr>
      <w:r>
        <w:rPr>
          <w:b/>
          <w:i w:val="0"/>
          <w:color w:val="343740"/>
          <w:sz w:val="52"/>
        </w:rPr>
        <w:t>From Farmland to Token</w:t>
      </w:r>
    </w:p>
    <w:p>
      <w:pPr>
        <w:spacing w:after="200"/>
      </w:pPr>
      <w:r>
        <w:rPr>
          <w:b w:val="0"/>
          <w:i w:val="0"/>
          <w:color w:val="5E6270"/>
          <w:sz w:val="24"/>
        </w:rPr>
        <w:t>How a regulated real-world asset becomes a compliant token on Redbelly Network, through Tokeniser</w:t>
      </w:r>
    </w:p>
    <w:tbl>
      <w:tblPr>
        <w:tblW w:type="auto" w:w="0"/>
        <w:tblLook w:firstColumn="1" w:firstRow="1" w:lastColumn="0" w:lastRow="0" w:noHBand="0" w:noVBand="1" w:val="04A0"/>
      </w:tblPr>
      <w:tblGrid>
        <w:gridCol w:w="7399"/>
        <w:gridCol w:w="7399"/>
      </w:tblGrid>
      <w:tr>
        <w:tc>
          <w:tcPr>
            <w:tcW w:type="dxa" w:w="1984"/>
          </w:tcPr>
          <w:p>
            <w:pPr>
              <w:spacing w:after="40"/>
            </w:pPr>
            <w:r/>
            <w:r>
              <w:rPr>
                <w:b/>
                <w:color w:val="5E6270"/>
                <w:sz w:val="18"/>
              </w:rPr>
              <w:t>Asset</w:t>
            </w:r>
          </w:p>
        </w:tc>
        <w:tc>
          <w:tcPr>
            <w:tcW w:type="dxa" w:w="12472"/>
          </w:tcPr>
          <w:p>
            <w:pPr>
              <w:spacing w:after="40"/>
            </w:pPr>
            <w:r/>
            <w:r>
              <w:rPr>
                <w:b w:val="0"/>
                <w:color w:val="343740"/>
                <w:sz w:val="18"/>
              </w:rPr>
              <w:t>An Australian farmland fund. Registered fund (unit trust). Investors hold units in the fund.</w:t>
            </w:r>
          </w:p>
        </w:tc>
      </w:tr>
      <w:tr>
        <w:tc>
          <w:tcPr>
            <w:tcW w:type="dxa" w:w="1984"/>
          </w:tcPr>
          <w:p>
            <w:pPr>
              <w:spacing w:after="40"/>
            </w:pPr>
            <w:r/>
            <w:r>
              <w:rPr>
                <w:b/>
                <w:color w:val="5E6270"/>
                <w:sz w:val="18"/>
              </w:rPr>
              <w:t>Runtime</w:t>
            </w:r>
          </w:p>
        </w:tc>
        <w:tc>
          <w:tcPr>
            <w:tcW w:type="dxa" w:w="12472"/>
          </w:tcPr>
          <w:p>
            <w:pPr>
              <w:spacing w:after="40"/>
            </w:pPr>
            <w:r/>
            <w:r>
              <w:rPr>
                <w:b w:val="0"/>
                <w:color w:val="343740"/>
                <w:sz w:val="18"/>
              </w:rPr>
              <w:t>86.7 seconds (1:26.7), 16:9, 1920 x 1080, 60 fps</w:t>
            </w:r>
          </w:p>
        </w:tc>
      </w:tr>
      <w:tr>
        <w:tc>
          <w:tcPr>
            <w:tcW w:type="dxa" w:w="1984"/>
          </w:tcPr>
          <w:p>
            <w:pPr>
              <w:spacing w:after="40"/>
            </w:pPr>
            <w:r/>
            <w:r>
              <w:rPr>
                <w:b/>
                <w:color w:val="5E6270"/>
                <w:sz w:val="18"/>
              </w:rPr>
              <w:t>Audience</w:t>
            </w:r>
          </w:p>
        </w:tc>
        <w:tc>
          <w:tcPr>
            <w:tcW w:type="dxa" w:w="12472"/>
          </w:tcPr>
          <w:p>
            <w:pPr>
              <w:spacing w:after="40"/>
            </w:pPr>
            <w:r/>
            <w:r>
              <w:rPr>
                <w:b w:val="0"/>
                <w:color w:val="343740"/>
                <w:sz w:val="18"/>
              </w:rPr>
              <w:t>Someone with no crypto or finance background.</w:t>
            </w:r>
          </w:p>
        </w:tc>
      </w:tr>
      <w:tr>
        <w:tc>
          <w:tcPr>
            <w:tcW w:type="dxa" w:w="1984"/>
          </w:tcPr>
          <w:p>
            <w:pPr>
              <w:spacing w:after="40"/>
            </w:pPr>
            <w:r/>
            <w:r>
              <w:rPr>
                <w:b/>
                <w:color w:val="5E6270"/>
                <w:sz w:val="18"/>
              </w:rPr>
              <w:t>Voiceover</w:t>
            </w:r>
          </w:p>
        </w:tc>
        <w:tc>
          <w:tcPr>
            <w:tcW w:type="dxa" w:w="12472"/>
          </w:tcPr>
          <w:p>
            <w:pPr>
              <w:spacing w:after="40"/>
            </w:pPr>
            <w:r/>
            <w:r>
              <w:rPr>
                <w:b w:val="0"/>
                <w:color w:val="343740"/>
                <w:sz w:val="18"/>
              </w:rPr>
              <w:t>en_GB-alba-medium (Piper (piper-tts)), Alba speech corpus, University of Edinburgh DataShare, CC BY 4.0</w:t>
            </w:r>
          </w:p>
        </w:tc>
      </w:tr>
      <w:tr>
        <w:tc>
          <w:tcPr>
            <w:tcW w:type="dxa" w:w="1984"/>
          </w:tcPr>
          <w:p>
            <w:pPr>
              <w:spacing w:after="40"/>
            </w:pPr>
            <w:r/>
            <w:r>
              <w:rPr>
                <w:b/>
                <w:color w:val="5E6270"/>
                <w:sz w:val="18"/>
              </w:rPr>
              <w:t>Note</w:t>
            </w:r>
          </w:p>
        </w:tc>
        <w:tc>
          <w:tcPr>
            <w:tcW w:type="dxa" w:w="12472"/>
          </w:tcPr>
          <w:p>
            <w:pPr>
              <w:spacing w:after="40"/>
            </w:pPr>
            <w:r/>
            <w:r>
              <w:rPr>
                <w:b w:val="0"/>
                <w:color w:val="343740"/>
                <w:sz w:val="18"/>
              </w:rPr>
              <w:t>Illustrative example. Not a real fund. No prices, returns or performance are shown or implied.</w:t>
            </w:r>
          </w:p>
        </w:tc>
      </w:tr>
    </w:tbl>
    <w:p>
      <w:pPr>
        <w:spacing w:after="80"/>
      </w:pPr>
      <w:r>
        <w:rPr>
          <w:b w:val="0"/>
          <w:i w:val="0"/>
          <w:color w:val="343740"/>
          <w:sz w:val="20"/>
        </w:rPr>
      </w:r>
    </w:p>
    <w:p>
      <w:pPr>
        <w:spacing w:after="40"/>
      </w:pPr>
      <w:r>
        <w:rPr>
          <w:b/>
          <w:i w:val="0"/>
          <w:color w:val="343740"/>
          <w:sz w:val="24"/>
        </w:rPr>
        <w:t>Why this asset</w:t>
      </w:r>
    </w:p>
    <w:p>
      <w:pPr>
        <w:spacing w:after="200"/>
      </w:pPr>
      <w:r>
        <w:rPr>
          <w:b w:val="0"/>
          <w:i w:val="0"/>
          <w:color w:val="343740"/>
          <w:sz w:val="20"/>
        </w:rPr>
        <w:t>Tokeniser is built for Australian funds and companies. A farmland fund is a real, regulated structure that anyone can picture: land you can see, owned through units that investors hold. It lets the video show the difference between the asset (the farmland, which does not change) and the record of who owns it (which becomes a token).</w:t>
      </w:r>
    </w:p>
    <w:p>
      <w:pPr>
        <w:spacing w:after="80"/>
      </w:pPr>
      <w:r>
        <w:rPr>
          <w:b/>
          <w:i w:val="0"/>
          <w:color w:val="343740"/>
          <w:sz w:val="32"/>
        </w:rPr>
        <w:t>1. Script</w:t>
      </w:r>
    </w:p>
    <w:p>
      <w:pPr>
        <w:spacing w:after="120"/>
      </w:pPr>
      <w:r>
        <w:rPr>
          <w:b w:val="0"/>
          <w:i w:val="0"/>
          <w:color w:val="5E6270"/>
          <w:sz w:val="18"/>
        </w:rPr>
        <w:t>Timecodes are taken from the rendered voiceover. The on-screen column lists every word drawn in the frame during that scene.</w:t>
      </w:r>
    </w:p>
    <w:tbl>
      <w:tblPr>
        <w:tblStyle w:val="TableGrid"/>
        <w:tblW w:type="auto" w:w="0"/>
        <w:jc w:val="center"/>
        <w:tblLook w:firstColumn="1" w:firstRow="1" w:lastColumn="0" w:lastRow="0" w:noHBand="0" w:noVBand="1" w:val="04A0"/>
      </w:tblPr>
      <w:tblGrid>
        <w:gridCol w:w="2960"/>
        <w:gridCol w:w="2960"/>
        <w:gridCol w:w="2960"/>
        <w:gridCol w:w="2960"/>
        <w:gridCol w:w="2960"/>
      </w:tblGrid>
      <w:tr>
        <w:trPr>
          <w:tblHeader w:val="true"/>
        </w:trPr>
        <w:tc>
          <w:tcPr>
            <w:tcW w:type="dxa" w:w="1134"/>
            <w:shd w:val="clear" w:color="auto" w:fill="343740"/>
          </w:tcPr>
          <w:p>
            <w:pPr>
              <w:spacing w:after="40"/>
            </w:pPr>
            <w:r/>
            <w:r>
              <w:rPr>
                <w:b/>
                <w:color w:val="FFFFFF"/>
                <w:sz w:val="18"/>
              </w:rPr>
              <w:t>Time</w:t>
            </w:r>
          </w:p>
        </w:tc>
        <w:tc>
          <w:tcPr>
            <w:tcW w:type="dxa" w:w="1928"/>
            <w:shd w:val="clear" w:color="auto" w:fill="343740"/>
          </w:tcPr>
          <w:p>
            <w:pPr>
              <w:spacing w:after="40"/>
            </w:pPr>
            <w:r/>
            <w:r>
              <w:rPr>
                <w:b/>
                <w:color w:val="FFFFFF"/>
                <w:sz w:val="18"/>
              </w:rPr>
              <w:t>Scene</w:t>
            </w:r>
          </w:p>
        </w:tc>
        <w:tc>
          <w:tcPr>
            <w:tcW w:type="dxa" w:w="4762"/>
            <w:shd w:val="clear" w:color="auto" w:fill="343740"/>
          </w:tcPr>
          <w:p>
            <w:pPr>
              <w:spacing w:after="40"/>
            </w:pPr>
            <w:r/>
            <w:r>
              <w:rPr>
                <w:b/>
                <w:color w:val="FFFFFF"/>
                <w:sz w:val="18"/>
              </w:rPr>
              <w:t>Voiceover</w:t>
            </w:r>
          </w:p>
        </w:tc>
        <w:tc>
          <w:tcPr>
            <w:tcW w:type="dxa" w:w="3175"/>
            <w:shd w:val="clear" w:color="auto" w:fill="343740"/>
          </w:tcPr>
          <w:p>
            <w:pPr>
              <w:spacing w:after="40"/>
            </w:pPr>
            <w:r/>
            <w:r>
              <w:rPr>
                <w:b/>
                <w:color w:val="FFFFFF"/>
                <w:sz w:val="18"/>
              </w:rPr>
              <w:t>On-screen text</w:t>
            </w:r>
          </w:p>
        </w:tc>
        <w:tc>
          <w:tcPr>
            <w:tcW w:type="dxa" w:w="3742"/>
            <w:shd w:val="clear" w:color="auto" w:fill="343740"/>
          </w:tcPr>
          <w:p>
            <w:pPr>
              <w:spacing w:after="40"/>
            </w:pPr>
            <w:r/>
            <w:r>
              <w:rPr>
                <w:b/>
                <w:color w:val="FFFFFF"/>
                <w:sz w:val="18"/>
              </w:rPr>
              <w:t>Visual</w:t>
            </w:r>
          </w:p>
        </w:tc>
      </w:tr>
      <w:tr>
        <w:tc>
          <w:tcPr>
            <w:tcW w:type="dxa" w:w="1134"/>
          </w:tcPr>
          <w:p>
            <w:pPr>
              <w:spacing w:after="40"/>
            </w:pPr>
            <w:r/>
            <w:r>
              <w:rPr>
                <w:rFonts w:ascii="JetBrains Mono" w:hAnsi="JetBrains Mono"/>
                <w:b w:val="0"/>
                <w:color w:val="343740"/>
                <w:sz w:val="16"/>
              </w:rPr>
              <w:t>0:00.0 to 0:06.8</w:t>
            </w:r>
          </w:p>
        </w:tc>
        <w:tc>
          <w:tcPr>
            <w:tcW w:type="dxa" w:w="1928"/>
          </w:tcPr>
          <w:p>
            <w:pPr>
              <w:spacing w:after="40"/>
            </w:pPr>
            <w:r/>
            <w:r>
              <w:rPr>
                <w:b/>
                <w:color w:val="343740"/>
                <w:sz w:val="18"/>
              </w:rPr>
              <w:t>The question</w:t>
            </w:r>
          </w:p>
        </w:tc>
        <w:tc>
          <w:tcPr>
            <w:tcW w:type="dxa" w:w="4762"/>
          </w:tcPr>
          <w:p>
            <w:pPr>
              <w:spacing w:after="40"/>
            </w:pPr>
            <w:r/>
            <w:r>
              <w:rPr>
                <w:b w:val="0"/>
                <w:color w:val="343740"/>
                <w:sz w:val="18"/>
              </w:rPr>
              <w:t>How does a real-world asset become a token? Let's follow one asset, step by step.</w:t>
            </w:r>
          </w:p>
        </w:tc>
        <w:tc>
          <w:tcPr>
            <w:tcW w:type="dxa" w:w="3175"/>
          </w:tcPr>
          <w:p>
            <w:pPr>
              <w:spacing w:after="40"/>
            </w:pPr>
            <w:r/>
            <w:r>
              <w:rPr>
                <w:b w:val="0"/>
                <w:color w:val="5E6270"/>
                <w:sz w:val="16"/>
              </w:rPr>
              <w:t>From real-world asset to compliant token</w:t>
            </w:r>
          </w:p>
          <w:p>
            <w:pPr>
              <w:spacing w:after="40"/>
            </w:pPr>
            <w:r>
              <w:rPr>
                <w:b w:val="0"/>
                <w:color w:val="5E6270"/>
                <w:sz w:val="16"/>
              </w:rPr>
              <w:t>Tokeniser on Redbelly Network</w:t>
            </w:r>
          </w:p>
          <w:p>
            <w:pPr>
              <w:spacing w:after="40"/>
            </w:pPr>
            <w:r>
              <w:rPr>
                <w:b w:val="0"/>
                <w:color w:val="5E6270"/>
                <w:sz w:val="16"/>
              </w:rPr>
              <w:t>Set up</w:t>
            </w:r>
          </w:p>
          <w:p>
            <w:pPr>
              <w:spacing w:after="40"/>
            </w:pPr>
            <w:r>
              <w:rPr>
                <w:b w:val="0"/>
                <w:color w:val="5E6270"/>
                <w:sz w:val="16"/>
              </w:rPr>
              <w:t>Investors</w:t>
            </w:r>
          </w:p>
          <w:p>
            <w:pPr>
              <w:spacing w:after="40"/>
            </w:pPr>
            <w:r>
              <w:rPr>
                <w:b w:val="0"/>
                <w:color w:val="5E6270"/>
                <w:sz w:val="16"/>
              </w:rPr>
              <w:t>Issue</w:t>
            </w:r>
          </w:p>
          <w:p>
            <w:pPr>
              <w:spacing w:after="40"/>
            </w:pPr>
            <w:r>
              <w:rPr>
                <w:b w:val="0"/>
                <w:color w:val="5E6270"/>
                <w:sz w:val="16"/>
              </w:rPr>
              <w:t>Transfer</w:t>
            </w:r>
          </w:p>
        </w:tc>
        <w:tc>
          <w:tcPr>
            <w:tcW w:type="dxa" w:w="3742"/>
          </w:tcPr>
          <w:p>
            <w:pPr>
              <w:spacing w:after="40"/>
            </w:pPr>
            <w:r/>
            <w:r>
              <w:rPr>
                <w:b w:val="0"/>
                <w:color w:val="5E6270"/>
                <w:sz w:val="16"/>
              </w:rPr>
              <w:t>Dark slate opening. A token draws itself and fills with Tokeniser mint, the title appears, then a four stop journey rail (Set up, Investors, Issue, Transfer) draws in. The dark layer lifts away and the rail settles at the top right, where it tracks progress for the rest of the video.</w:t>
            </w:r>
          </w:p>
        </w:tc>
      </w:tr>
      <w:tr>
        <w:tc>
          <w:tcPr>
            <w:tcW w:type="dxa" w:w="1134"/>
          </w:tcPr>
          <w:p>
            <w:pPr>
              <w:spacing w:after="40"/>
            </w:pPr>
            <w:r/>
            <w:r>
              <w:rPr>
                <w:rFonts w:ascii="JetBrains Mono" w:hAnsi="JetBrains Mono"/>
                <w:b w:val="0"/>
                <w:color w:val="343740"/>
                <w:sz w:val="16"/>
              </w:rPr>
              <w:t>0:06.8 to 0:15.1</w:t>
            </w:r>
          </w:p>
        </w:tc>
        <w:tc>
          <w:tcPr>
            <w:tcW w:type="dxa" w:w="1928"/>
          </w:tcPr>
          <w:p>
            <w:pPr>
              <w:spacing w:after="40"/>
            </w:pPr>
            <w:r/>
            <w:r>
              <w:rPr>
                <w:b/>
                <w:color w:val="343740"/>
                <w:sz w:val="18"/>
              </w:rPr>
              <w:t>The asset</w:t>
            </w:r>
          </w:p>
        </w:tc>
        <w:tc>
          <w:tcPr>
            <w:tcW w:type="dxa" w:w="4762"/>
          </w:tcPr>
          <w:p>
            <w:pPr>
              <w:spacing w:after="40"/>
            </w:pPr>
            <w:r/>
            <w:r>
              <w:rPr>
                <w:b w:val="0"/>
                <w:color w:val="343740"/>
                <w:sz w:val="18"/>
              </w:rPr>
              <w:t>Meet an Australian farmland fund. Investors hold its units, and the register sits across separate systems, updated after the fact.</w:t>
            </w:r>
          </w:p>
        </w:tc>
        <w:tc>
          <w:tcPr>
            <w:tcW w:type="dxa" w:w="3175"/>
          </w:tcPr>
          <w:p>
            <w:pPr>
              <w:spacing w:after="40"/>
            </w:pPr>
            <w:r/>
            <w:r>
              <w:rPr>
                <w:b w:val="0"/>
                <w:color w:val="5E6270"/>
                <w:sz w:val="16"/>
              </w:rPr>
              <w:t>Illustrative example</w:t>
            </w:r>
          </w:p>
          <w:p>
            <w:pPr>
              <w:spacing w:after="40"/>
            </w:pPr>
            <w:r>
              <w:rPr>
                <w:b w:val="0"/>
                <w:color w:val="5E6270"/>
                <w:sz w:val="16"/>
              </w:rPr>
              <w:t>Australian farmland fund</w:t>
            </w:r>
          </w:p>
          <w:p>
            <w:pPr>
              <w:spacing w:after="40"/>
            </w:pPr>
            <w:r>
              <w:rPr>
                <w:b w:val="0"/>
                <w:color w:val="5E6270"/>
                <w:sz w:val="16"/>
              </w:rPr>
              <w:t>Units</w:t>
            </w:r>
          </w:p>
          <w:p>
            <w:pPr>
              <w:spacing w:after="40"/>
            </w:pPr>
            <w:r>
              <w:rPr>
                <w:b w:val="0"/>
                <w:color w:val="5E6270"/>
                <w:sz w:val="16"/>
              </w:rPr>
              <w:t>Investors</w:t>
            </w:r>
          </w:p>
          <w:p>
            <w:pPr>
              <w:spacing w:after="40"/>
            </w:pPr>
            <w:r>
              <w:rPr>
                <w:b w:val="0"/>
                <w:color w:val="5E6270"/>
                <w:sz w:val="16"/>
              </w:rPr>
              <w:t>Register today</w:t>
            </w:r>
          </w:p>
          <w:p>
            <w:pPr>
              <w:spacing w:after="40"/>
            </w:pPr>
            <w:r>
              <w:rPr>
                <w:b w:val="0"/>
                <w:color w:val="5E6270"/>
                <w:sz w:val="16"/>
              </w:rPr>
              <w:t>Spreadsheet</w:t>
            </w:r>
          </w:p>
          <w:p>
            <w:pPr>
              <w:spacing w:after="40"/>
            </w:pPr>
            <w:r>
              <w:rPr>
                <w:b w:val="0"/>
                <w:color w:val="5E6270"/>
                <w:sz w:val="16"/>
              </w:rPr>
              <w:t>Email</w:t>
            </w:r>
          </w:p>
          <w:p>
            <w:pPr>
              <w:spacing w:after="40"/>
            </w:pPr>
            <w:r>
              <w:rPr>
                <w:b w:val="0"/>
                <w:color w:val="5E6270"/>
                <w:sz w:val="16"/>
              </w:rPr>
              <w:t>Admin system</w:t>
            </w:r>
          </w:p>
          <w:p>
            <w:pPr>
              <w:spacing w:after="40"/>
            </w:pPr>
            <w:r>
              <w:rPr>
                <w:b w:val="0"/>
                <w:color w:val="5E6270"/>
                <w:sz w:val="16"/>
              </w:rPr>
              <w:t>Updated after the fact</w:t>
            </w:r>
          </w:p>
        </w:tc>
        <w:tc>
          <w:tcPr>
            <w:tcW w:type="dxa" w:w="3742"/>
          </w:tcPr>
          <w:p>
            <w:pPr>
              <w:spacing w:after="40"/>
            </w:pPr>
            <w:r/>
            <w:r>
              <w:rPr>
                <w:b w:val="0"/>
                <w:color w:val="5E6270"/>
                <w:sz w:val="16"/>
              </w:rPr>
              <w:t>Isometric farmland builds up parcel by parcel inside a dashed frame that marks the fund. A row of unit tiles appears below it, linked to three investors. On the right, the register today appears as three separate documents (spreadsheet, email, admin system) with broken links between them and a clock.</w:t>
            </w:r>
          </w:p>
        </w:tc>
      </w:tr>
      <w:tr>
        <w:tc>
          <w:tcPr>
            <w:tcW w:type="dxa" w:w="1134"/>
          </w:tcPr>
          <w:p>
            <w:pPr>
              <w:spacing w:after="40"/>
            </w:pPr>
            <w:r/>
            <w:r>
              <w:rPr>
                <w:rFonts w:ascii="JetBrains Mono" w:hAnsi="JetBrains Mono"/>
                <w:b w:val="0"/>
                <w:color w:val="343740"/>
                <w:sz w:val="16"/>
              </w:rPr>
              <w:t>0:15.1 to 0:20.5</w:t>
            </w:r>
          </w:p>
        </w:tc>
        <w:tc>
          <w:tcPr>
            <w:tcW w:type="dxa" w:w="1928"/>
          </w:tcPr>
          <w:p>
            <w:pPr>
              <w:spacing w:after="40"/>
            </w:pPr>
            <w:r/>
            <w:r>
              <w:rPr>
                <w:b/>
                <w:color w:val="343740"/>
                <w:sz w:val="18"/>
              </w:rPr>
              <w:t>What tokenisation means</w:t>
            </w:r>
          </w:p>
        </w:tc>
        <w:tc>
          <w:tcPr>
            <w:tcW w:type="dxa" w:w="4762"/>
          </w:tcPr>
          <w:p>
            <w:pPr>
              <w:spacing w:after="40"/>
            </w:pPr>
            <w:r/>
            <w:r>
              <w:rPr>
                <w:b w:val="0"/>
                <w:color w:val="343740"/>
                <w:sz w:val="18"/>
              </w:rPr>
              <w:t>Tokenisation records that ownership as digital tokens, with the fund's rules programmed in.</w:t>
            </w:r>
          </w:p>
        </w:tc>
        <w:tc>
          <w:tcPr>
            <w:tcW w:type="dxa" w:w="3175"/>
          </w:tcPr>
          <w:p>
            <w:pPr>
              <w:spacing w:after="40"/>
            </w:pPr>
            <w:r/>
            <w:r>
              <w:rPr>
                <w:b w:val="0"/>
                <w:color w:val="5E6270"/>
                <w:sz w:val="16"/>
              </w:rPr>
              <w:t>The idea</w:t>
            </w:r>
          </w:p>
          <w:p>
            <w:pPr>
              <w:spacing w:after="40"/>
            </w:pPr>
            <w:r>
              <w:rPr>
                <w:b w:val="0"/>
                <w:color w:val="5E6270"/>
                <w:sz w:val="16"/>
              </w:rPr>
              <w:t>Ownership, recorded as digital tokens</w:t>
            </w:r>
          </w:p>
          <w:p>
            <w:pPr>
              <w:spacing w:after="40"/>
            </w:pPr>
            <w:r>
              <w:rPr>
                <w:b w:val="0"/>
                <w:color w:val="5E6270"/>
                <w:sz w:val="16"/>
              </w:rPr>
              <w:t>Rules, programmed in</w:t>
            </w:r>
          </w:p>
        </w:tc>
        <w:tc>
          <w:tcPr>
            <w:tcW w:type="dxa" w:w="3742"/>
          </w:tcPr>
          <w:p>
            <w:pPr>
              <w:spacing w:after="40"/>
            </w:pPr>
            <w:r/>
            <w:r>
              <w:rPr>
                <w:b w:val="0"/>
                <w:color w:val="5E6270"/>
                <w:sz w:val="16"/>
              </w:rPr>
              <w:t>The farmland stays where it is and the old register fades. The unit tiles lift and turn into tokens. A small rules badge settles onto each token.</w:t>
            </w:r>
          </w:p>
        </w:tc>
      </w:tr>
      <w:tr>
        <w:tc>
          <w:tcPr>
            <w:tcW w:type="dxa" w:w="1134"/>
          </w:tcPr>
          <w:p>
            <w:pPr>
              <w:spacing w:after="40"/>
            </w:pPr>
            <w:r/>
            <w:r>
              <w:rPr>
                <w:rFonts w:ascii="JetBrains Mono" w:hAnsi="JetBrains Mono"/>
                <w:b w:val="0"/>
                <w:color w:val="343740"/>
                <w:sz w:val="16"/>
              </w:rPr>
              <w:t>0:20.5 to 0:28.7</w:t>
            </w:r>
          </w:p>
        </w:tc>
        <w:tc>
          <w:tcPr>
            <w:tcW w:type="dxa" w:w="1928"/>
          </w:tcPr>
          <w:p>
            <w:pPr>
              <w:spacing w:after="40"/>
            </w:pPr>
            <w:r/>
            <w:r>
              <w:rPr>
                <w:b/>
                <w:color w:val="343740"/>
                <w:sz w:val="18"/>
              </w:rPr>
              <w:t>Two layers</w:t>
            </w:r>
          </w:p>
        </w:tc>
        <w:tc>
          <w:tcPr>
            <w:tcW w:type="dxa" w:w="4762"/>
          </w:tcPr>
          <w:p>
            <w:pPr>
              <w:spacing w:after="40"/>
            </w:pPr>
            <w:r/>
            <w:r>
              <w:rPr>
                <w:b w:val="0"/>
                <w:color w:val="343740"/>
                <w:sz w:val="18"/>
              </w:rPr>
              <w:t>The manager uses Tokeniser, a familiar platform. Underneath runs Redbelly Network, Australia's public digital token infrastructure.</w:t>
            </w:r>
          </w:p>
        </w:tc>
        <w:tc>
          <w:tcPr>
            <w:tcW w:type="dxa" w:w="3175"/>
          </w:tcPr>
          <w:p>
            <w:pPr>
              <w:spacing w:after="40"/>
            </w:pPr>
            <w:r/>
            <w:r>
              <w:rPr>
                <w:b w:val="0"/>
                <w:color w:val="5E6270"/>
                <w:sz w:val="16"/>
              </w:rPr>
              <w:t>Platform and network</w:t>
            </w:r>
          </w:p>
          <w:p>
            <w:pPr>
              <w:spacing w:after="40"/>
            </w:pPr>
            <w:r>
              <w:rPr>
                <w:b w:val="0"/>
                <w:color w:val="5E6270"/>
                <w:sz w:val="16"/>
              </w:rPr>
              <w:t>Tokeniser</w:t>
            </w:r>
          </w:p>
          <w:p>
            <w:pPr>
              <w:spacing w:after="40"/>
            </w:pPr>
            <w:r>
              <w:rPr>
                <w:b w:val="0"/>
                <w:color w:val="5E6270"/>
                <w:sz w:val="16"/>
              </w:rPr>
              <w:t>Familiar platform</w:t>
            </w:r>
          </w:p>
          <w:p>
            <w:pPr>
              <w:spacing w:after="40"/>
            </w:pPr>
            <w:r>
              <w:rPr>
                <w:b w:val="0"/>
                <w:color w:val="5E6270"/>
                <w:sz w:val="16"/>
              </w:rPr>
              <w:t>Australian farmland fund</w:t>
            </w:r>
          </w:p>
          <w:p>
            <w:pPr>
              <w:spacing w:after="40"/>
            </w:pPr>
            <w:r>
              <w:rPr>
                <w:b w:val="0"/>
                <w:color w:val="5E6270"/>
                <w:sz w:val="16"/>
              </w:rPr>
              <w:t>Units, as tokens</w:t>
            </w:r>
          </w:p>
          <w:p>
            <w:pPr>
              <w:spacing w:after="40"/>
            </w:pPr>
            <w:r>
              <w:rPr>
                <w:b w:val="0"/>
                <w:color w:val="5E6270"/>
                <w:sz w:val="16"/>
              </w:rPr>
              <w:t>Redbelly Network</w:t>
            </w:r>
          </w:p>
          <w:p>
            <w:pPr>
              <w:spacing w:after="40"/>
            </w:pPr>
            <w:r>
              <w:rPr>
                <w:b w:val="0"/>
                <w:color w:val="5E6270"/>
                <w:sz w:val="16"/>
              </w:rPr>
              <w:t>Public digital token infrastructure</w:t>
            </w:r>
          </w:p>
        </w:tc>
        <w:tc>
          <w:tcPr>
            <w:tcW w:type="dxa" w:w="3742"/>
          </w:tcPr>
          <w:p>
            <w:pPr>
              <w:spacing w:after="40"/>
            </w:pPr>
            <w:r/>
            <w:r>
              <w:rPr>
                <w:b w:val="0"/>
                <w:color w:val="5E6270"/>
                <w:sz w:val="16"/>
              </w:rPr>
              <w:t>A Tokeniser platform window slides in and the tokens settle into it. Then the dark Redbelly Network layer rises in underneath the window, with the Redbelly logo and a chain of blocks. These two layers stay on screen as the stage for the four steps.</w:t>
            </w:r>
          </w:p>
        </w:tc>
      </w:tr>
      <w:tr>
        <w:tc>
          <w:tcPr>
            <w:tcW w:type="dxa" w:w="1134"/>
          </w:tcPr>
          <w:p>
            <w:pPr>
              <w:spacing w:after="40"/>
            </w:pPr>
            <w:r/>
            <w:r>
              <w:rPr>
                <w:rFonts w:ascii="JetBrains Mono" w:hAnsi="JetBrains Mono"/>
                <w:b w:val="0"/>
                <w:color w:val="343740"/>
                <w:sz w:val="16"/>
              </w:rPr>
              <w:t>0:28.7 to 0:36.8</w:t>
            </w:r>
          </w:p>
        </w:tc>
        <w:tc>
          <w:tcPr>
            <w:tcW w:type="dxa" w:w="1928"/>
          </w:tcPr>
          <w:p>
            <w:pPr>
              <w:spacing w:after="40"/>
            </w:pPr>
            <w:r/>
            <w:r>
              <w:rPr>
                <w:b/>
                <w:color w:val="343740"/>
                <w:sz w:val="18"/>
              </w:rPr>
              <w:t>Step 1. Set up</w:t>
            </w:r>
          </w:p>
        </w:tc>
        <w:tc>
          <w:tcPr>
            <w:tcW w:type="dxa" w:w="4762"/>
          </w:tcPr>
          <w:p>
            <w:pPr>
              <w:spacing w:after="40"/>
            </w:pPr>
            <w:r/>
            <w:r>
              <w:rPr>
                <w:b w:val="0"/>
                <w:color w:val="343740"/>
                <w:sz w:val="18"/>
              </w:rPr>
              <w:t>Step one: set up. The fund is verified, and its rules, like wholesale investors only, are encoded into the token.</w:t>
            </w:r>
          </w:p>
        </w:tc>
        <w:tc>
          <w:tcPr>
            <w:tcW w:type="dxa" w:w="3175"/>
          </w:tcPr>
          <w:p>
            <w:pPr>
              <w:spacing w:after="40"/>
            </w:pPr>
            <w:r/>
            <w:r>
              <w:rPr>
                <w:b w:val="0"/>
                <w:color w:val="5E6270"/>
                <w:sz w:val="16"/>
              </w:rPr>
              <w:t>Step 1</w:t>
            </w:r>
          </w:p>
          <w:p>
            <w:pPr>
              <w:spacing w:after="40"/>
            </w:pPr>
            <w:r>
              <w:rPr>
                <w:b w:val="0"/>
                <w:color w:val="5E6270"/>
                <w:sz w:val="16"/>
              </w:rPr>
              <w:t>Set up</w:t>
            </w:r>
          </w:p>
          <w:p>
            <w:pPr>
              <w:spacing w:after="40"/>
            </w:pPr>
            <w:r>
              <w:rPr>
                <w:b w:val="0"/>
                <w:color w:val="5E6270"/>
                <w:sz w:val="16"/>
              </w:rPr>
              <w:t>Fund setup</w:t>
            </w:r>
          </w:p>
          <w:p>
            <w:pPr>
              <w:spacing w:after="40"/>
            </w:pPr>
            <w:r>
              <w:rPr>
                <w:b w:val="0"/>
                <w:color w:val="5E6270"/>
                <w:sz w:val="16"/>
              </w:rPr>
              <w:t>Australian farmland fund</w:t>
            </w:r>
          </w:p>
          <w:p>
            <w:pPr>
              <w:spacing w:after="40"/>
            </w:pPr>
            <w:r>
              <w:rPr>
                <w:b w:val="0"/>
                <w:color w:val="5E6270"/>
                <w:sz w:val="16"/>
              </w:rPr>
              <w:t>Pending</w:t>
            </w:r>
          </w:p>
          <w:p>
            <w:pPr>
              <w:spacing w:after="40"/>
            </w:pPr>
            <w:r>
              <w:rPr>
                <w:b w:val="0"/>
                <w:color w:val="5E6270"/>
                <w:sz w:val="16"/>
              </w:rPr>
              <w:t>Fund verified</w:t>
            </w:r>
          </w:p>
          <w:p>
            <w:pPr>
              <w:spacing w:after="40"/>
            </w:pPr>
            <w:r>
              <w:rPr>
                <w:b w:val="0"/>
                <w:color w:val="5E6270"/>
                <w:sz w:val="16"/>
              </w:rPr>
              <w:t>Rules</w:t>
            </w:r>
          </w:p>
          <w:p>
            <w:pPr>
              <w:spacing w:after="40"/>
            </w:pPr>
            <w:r>
              <w:rPr>
                <w:b w:val="0"/>
                <w:color w:val="5E6270"/>
                <w:sz w:val="16"/>
              </w:rPr>
              <w:t>Wholesale investors only</w:t>
            </w:r>
          </w:p>
          <w:p>
            <w:pPr>
              <w:spacing w:after="40"/>
            </w:pPr>
            <w:r>
              <w:rPr>
                <w:b w:val="0"/>
                <w:color w:val="5E6270"/>
                <w:sz w:val="16"/>
              </w:rPr>
              <w:t>Transfer restrictions</w:t>
            </w:r>
          </w:p>
          <w:p>
            <w:pPr>
              <w:spacing w:after="40"/>
            </w:pPr>
            <w:r>
              <w:rPr>
                <w:b w:val="0"/>
                <w:color w:val="5E6270"/>
                <w:sz w:val="16"/>
              </w:rPr>
              <w:t>Rules encoded into the token</w:t>
            </w:r>
          </w:p>
        </w:tc>
        <w:tc>
          <w:tcPr>
            <w:tcW w:type="dxa" w:w="3742"/>
          </w:tcPr>
          <w:p>
            <w:pPr>
              <w:spacing w:after="40"/>
            </w:pPr>
            <w:r/>
            <w:r>
              <w:rPr>
                <w:b w:val="0"/>
                <w:color w:val="5E6270"/>
                <w:sz w:val="16"/>
              </w:rPr>
              <w:t>In the platform window, the fund setup card changes from Pending to Fund verified. Two rule chips, Wholesale investors only and Transfer restrictions, appear and fly to the token, which gains a rules badge and a lock.</w:t>
            </w:r>
          </w:p>
        </w:tc>
      </w:tr>
      <w:tr>
        <w:tc>
          <w:tcPr>
            <w:tcW w:type="dxa" w:w="1134"/>
          </w:tcPr>
          <w:p>
            <w:pPr>
              <w:spacing w:after="40"/>
            </w:pPr>
            <w:r/>
            <w:r>
              <w:rPr>
                <w:rFonts w:ascii="JetBrains Mono" w:hAnsi="JetBrains Mono"/>
                <w:b w:val="0"/>
                <w:color w:val="343740"/>
                <w:sz w:val="16"/>
              </w:rPr>
              <w:t>0:36.8 to 0:44.1</w:t>
            </w:r>
          </w:p>
        </w:tc>
        <w:tc>
          <w:tcPr>
            <w:tcW w:type="dxa" w:w="1928"/>
          </w:tcPr>
          <w:p>
            <w:pPr>
              <w:spacing w:after="40"/>
            </w:pPr>
            <w:r/>
            <w:r>
              <w:rPr>
                <w:b/>
                <w:color w:val="343740"/>
                <w:sz w:val="18"/>
              </w:rPr>
              <w:t>Step 2. Investors</w:t>
            </w:r>
          </w:p>
        </w:tc>
        <w:tc>
          <w:tcPr>
            <w:tcW w:type="dxa" w:w="4762"/>
          </w:tcPr>
          <w:p>
            <w:pPr>
              <w:spacing w:after="40"/>
            </w:pPr>
            <w:r/>
            <w:r>
              <w:rPr>
                <w:b w:val="0"/>
                <w:color w:val="343740"/>
                <w:sz w:val="18"/>
              </w:rPr>
              <w:t>Step two: investors. Each is verified through Averer, then gets a wallet on Redbelly Network to hold tokens.</w:t>
            </w:r>
          </w:p>
        </w:tc>
        <w:tc>
          <w:tcPr>
            <w:tcW w:type="dxa" w:w="3175"/>
          </w:tcPr>
          <w:p>
            <w:pPr>
              <w:spacing w:after="40"/>
            </w:pPr>
            <w:r/>
            <w:r>
              <w:rPr>
                <w:b w:val="0"/>
                <w:color w:val="5E6270"/>
                <w:sz w:val="16"/>
              </w:rPr>
              <w:t>Step 2</w:t>
            </w:r>
          </w:p>
          <w:p>
            <w:pPr>
              <w:spacing w:after="40"/>
            </w:pPr>
            <w:r>
              <w:rPr>
                <w:b w:val="0"/>
                <w:color w:val="5E6270"/>
                <w:sz w:val="16"/>
              </w:rPr>
              <w:t>Investors</w:t>
            </w:r>
          </w:p>
          <w:p>
            <w:pPr>
              <w:spacing w:after="40"/>
            </w:pPr>
            <w:r>
              <w:rPr>
                <w:b w:val="0"/>
                <w:color w:val="5E6270"/>
                <w:sz w:val="16"/>
              </w:rPr>
              <w:t>Averer</w:t>
            </w:r>
          </w:p>
          <w:p>
            <w:pPr>
              <w:spacing w:after="40"/>
            </w:pPr>
            <w:r>
              <w:rPr>
                <w:b w:val="0"/>
                <w:color w:val="5E6270"/>
                <w:sz w:val="16"/>
              </w:rPr>
              <w:t>Identity verified</w:t>
            </w:r>
          </w:p>
          <w:p>
            <w:pPr>
              <w:spacing w:after="40"/>
            </w:pPr>
            <w:r>
              <w:rPr>
                <w:b w:val="0"/>
                <w:color w:val="5E6270"/>
                <w:sz w:val="16"/>
              </w:rPr>
              <w:t>Investor classified</w:t>
            </w:r>
          </w:p>
          <w:p>
            <w:pPr>
              <w:spacing w:after="40"/>
            </w:pPr>
            <w:r>
              <w:rPr>
                <w:b w:val="0"/>
                <w:color w:val="5E6270"/>
                <w:sz w:val="16"/>
              </w:rPr>
              <w:t>Not verified</w:t>
            </w:r>
          </w:p>
          <w:p>
            <w:pPr>
              <w:spacing w:after="40"/>
            </w:pPr>
            <w:r>
              <w:rPr>
                <w:b w:val="0"/>
                <w:color w:val="5E6270"/>
                <w:sz w:val="16"/>
              </w:rPr>
              <w:t>No tokens</w:t>
            </w:r>
          </w:p>
          <w:p>
            <w:pPr>
              <w:spacing w:after="40"/>
            </w:pPr>
            <w:r>
              <w:rPr>
                <w:b w:val="0"/>
                <w:color w:val="5E6270"/>
                <w:sz w:val="16"/>
              </w:rPr>
              <w:t>Verified through Averer</w:t>
            </w:r>
          </w:p>
          <w:p>
            <w:pPr>
              <w:spacing w:after="40"/>
            </w:pPr>
            <w:r>
              <w:rPr>
                <w:b w:val="0"/>
                <w:color w:val="5E6270"/>
                <w:sz w:val="16"/>
              </w:rPr>
              <w:t>Wallet on Redbelly Network</w:t>
            </w:r>
          </w:p>
        </w:tc>
        <w:tc>
          <w:tcPr>
            <w:tcW w:type="dxa" w:w="3742"/>
          </w:tcPr>
          <w:p>
            <w:pPr>
              <w:spacing w:after="40"/>
            </w:pPr>
            <w:r/>
            <w:r>
              <w:rPr>
                <w:b w:val="0"/>
                <w:color w:val="5E6270"/>
                <w:sz w:val="16"/>
              </w:rPr>
              <w:t>A verification scan labelled Averer passes over three investor cards. Two investors are verified and their wallets drop onto the Redbelly Network layer. The third is not verified and gets no wallet and no tokens.</w:t>
            </w:r>
          </w:p>
        </w:tc>
      </w:tr>
      <w:tr>
        <w:tc>
          <w:tcPr>
            <w:tcW w:type="dxa" w:w="1134"/>
          </w:tcPr>
          <w:p>
            <w:pPr>
              <w:spacing w:after="40"/>
            </w:pPr>
            <w:r/>
            <w:r>
              <w:rPr>
                <w:rFonts w:ascii="JetBrains Mono" w:hAnsi="JetBrains Mono"/>
                <w:b w:val="0"/>
                <w:color w:val="343740"/>
                <w:sz w:val="16"/>
              </w:rPr>
              <w:t>0:44.1 to 0:51.0</w:t>
            </w:r>
          </w:p>
        </w:tc>
        <w:tc>
          <w:tcPr>
            <w:tcW w:type="dxa" w:w="1928"/>
          </w:tcPr>
          <w:p>
            <w:pPr>
              <w:spacing w:after="40"/>
            </w:pPr>
            <w:r/>
            <w:r>
              <w:rPr>
                <w:b/>
                <w:color w:val="343740"/>
                <w:sz w:val="18"/>
              </w:rPr>
              <w:t>Step 3. Issue</w:t>
            </w:r>
          </w:p>
        </w:tc>
        <w:tc>
          <w:tcPr>
            <w:tcW w:type="dxa" w:w="4762"/>
          </w:tcPr>
          <w:p>
            <w:pPr>
              <w:spacing w:after="40"/>
            </w:pPr>
            <w:r/>
            <w:r>
              <w:rPr>
                <w:b w:val="0"/>
                <w:color w:val="343740"/>
                <w:sz w:val="18"/>
              </w:rPr>
              <w:t>Step three: issue. Tokens are minted on Redbelly Network into verified wallets, and the register updates immediately.</w:t>
            </w:r>
          </w:p>
        </w:tc>
        <w:tc>
          <w:tcPr>
            <w:tcW w:type="dxa" w:w="3175"/>
          </w:tcPr>
          <w:p>
            <w:pPr>
              <w:spacing w:after="40"/>
            </w:pPr>
            <w:r/>
            <w:r>
              <w:rPr>
                <w:b w:val="0"/>
                <w:color w:val="5E6270"/>
                <w:sz w:val="16"/>
              </w:rPr>
              <w:t>Step 3</w:t>
            </w:r>
          </w:p>
          <w:p>
            <w:pPr>
              <w:spacing w:after="40"/>
            </w:pPr>
            <w:r>
              <w:rPr>
                <w:b w:val="0"/>
                <w:color w:val="5E6270"/>
                <w:sz w:val="16"/>
              </w:rPr>
              <w:t>Issue</w:t>
            </w:r>
          </w:p>
          <w:p>
            <w:pPr>
              <w:spacing w:after="40"/>
            </w:pPr>
            <w:r>
              <w:rPr>
                <w:b w:val="0"/>
                <w:color w:val="5E6270"/>
                <w:sz w:val="16"/>
              </w:rPr>
              <w:t>Register</w:t>
            </w:r>
          </w:p>
          <w:p>
            <w:pPr>
              <w:spacing w:after="40"/>
            </w:pPr>
            <w:r>
              <w:rPr>
                <w:b w:val="0"/>
                <w:color w:val="5E6270"/>
                <w:sz w:val="16"/>
              </w:rPr>
              <w:t>Live</w:t>
            </w:r>
          </w:p>
          <w:p>
            <w:pPr>
              <w:spacing w:after="40"/>
            </w:pPr>
            <w:r>
              <w:rPr>
                <w:b w:val="0"/>
                <w:color w:val="5E6270"/>
                <w:sz w:val="16"/>
              </w:rPr>
              <w:t>Updated</w:t>
            </w:r>
          </w:p>
          <w:p>
            <w:pPr>
              <w:spacing w:after="40"/>
            </w:pPr>
            <w:r>
              <w:rPr>
                <w:b w:val="0"/>
                <w:color w:val="5E6270"/>
                <w:sz w:val="16"/>
              </w:rPr>
              <w:t>Minted on Redbelly Network</w:t>
            </w:r>
          </w:p>
          <w:p>
            <w:pPr>
              <w:spacing w:after="40"/>
            </w:pPr>
            <w:r>
              <w:rPr>
                <w:b w:val="0"/>
                <w:color w:val="5E6270"/>
                <w:sz w:val="16"/>
              </w:rPr>
              <w:t>Register updated</w:t>
            </w:r>
          </w:p>
        </w:tc>
        <w:tc>
          <w:tcPr>
            <w:tcW w:type="dxa" w:w="3742"/>
          </w:tcPr>
          <w:p>
            <w:pPr>
              <w:spacing w:after="40"/>
            </w:pPr>
            <w:r/>
            <w:r>
              <w:rPr>
                <w:b w:val="0"/>
                <w:color w:val="5E6270"/>
                <w:sz w:val="16"/>
              </w:rPr>
              <w:t>A block on the Redbelly Network layer lights up and tokens are minted from it into the two verified wallets. At the same moment the register in the platform window fills in and marks each row Updated.</w:t>
            </w:r>
          </w:p>
        </w:tc>
      </w:tr>
      <w:tr>
        <w:tc>
          <w:tcPr>
            <w:tcW w:type="dxa" w:w="1134"/>
          </w:tcPr>
          <w:p>
            <w:pPr>
              <w:spacing w:after="40"/>
            </w:pPr>
            <w:r/>
            <w:r>
              <w:rPr>
                <w:rFonts w:ascii="JetBrains Mono" w:hAnsi="JetBrains Mono"/>
                <w:b w:val="0"/>
                <w:color w:val="343740"/>
                <w:sz w:val="16"/>
              </w:rPr>
              <w:t>0:51.0 to 0:59.3</w:t>
            </w:r>
          </w:p>
        </w:tc>
        <w:tc>
          <w:tcPr>
            <w:tcW w:type="dxa" w:w="1928"/>
          </w:tcPr>
          <w:p>
            <w:pPr>
              <w:spacing w:after="40"/>
            </w:pPr>
            <w:r/>
            <w:r>
              <w:rPr>
                <w:b/>
                <w:color w:val="343740"/>
                <w:sz w:val="18"/>
              </w:rPr>
              <w:t>Step 4. Transfer</w:t>
            </w:r>
          </w:p>
        </w:tc>
        <w:tc>
          <w:tcPr>
            <w:tcW w:type="dxa" w:w="4762"/>
          </w:tcPr>
          <w:p>
            <w:pPr>
              <w:spacing w:after="40"/>
            </w:pPr>
            <w:r/>
            <w:r>
              <w:rPr>
                <w:b w:val="0"/>
                <w:color w:val="343740"/>
                <w:sz w:val="18"/>
              </w:rPr>
              <w:t>Step four: transfer. Every transfer is checked against the rules first. A transfer to an ineligible investor is rejected.</w:t>
            </w:r>
          </w:p>
        </w:tc>
        <w:tc>
          <w:tcPr>
            <w:tcW w:type="dxa" w:w="3175"/>
          </w:tcPr>
          <w:p>
            <w:pPr>
              <w:spacing w:after="40"/>
            </w:pPr>
            <w:r/>
            <w:r>
              <w:rPr>
                <w:b w:val="0"/>
                <w:color w:val="5E6270"/>
                <w:sz w:val="16"/>
              </w:rPr>
              <w:t>Step 4</w:t>
            </w:r>
          </w:p>
          <w:p>
            <w:pPr>
              <w:spacing w:after="40"/>
            </w:pPr>
            <w:r>
              <w:rPr>
                <w:b w:val="0"/>
                <w:color w:val="5E6270"/>
                <w:sz w:val="16"/>
              </w:rPr>
              <w:t>Transfer</w:t>
            </w:r>
          </w:p>
          <w:p>
            <w:pPr>
              <w:spacing w:after="40"/>
            </w:pPr>
            <w:r>
              <w:rPr>
                <w:b w:val="0"/>
                <w:color w:val="5E6270"/>
                <w:sz w:val="16"/>
              </w:rPr>
              <w:t>Rules check</w:t>
            </w:r>
          </w:p>
          <w:p>
            <w:pPr>
              <w:spacing w:after="40"/>
            </w:pPr>
            <w:r>
              <w:rPr>
                <w:b w:val="0"/>
                <w:color w:val="5E6270"/>
                <w:sz w:val="16"/>
              </w:rPr>
              <w:t>Wholesale investors only</w:t>
            </w:r>
          </w:p>
          <w:p>
            <w:pPr>
              <w:spacing w:after="40"/>
            </w:pPr>
            <w:r>
              <w:rPr>
                <w:b w:val="0"/>
                <w:color w:val="5E6270"/>
                <w:sz w:val="16"/>
              </w:rPr>
              <w:t>Transfer restrictions</w:t>
            </w:r>
          </w:p>
          <w:p>
            <w:pPr>
              <w:spacing w:after="40"/>
            </w:pPr>
            <w:r>
              <w:rPr>
                <w:b w:val="0"/>
                <w:color w:val="5E6270"/>
                <w:sz w:val="16"/>
              </w:rPr>
              <w:t>Ineligible investor</w:t>
            </w:r>
          </w:p>
          <w:p>
            <w:pPr>
              <w:spacing w:after="40"/>
            </w:pPr>
            <w:r>
              <w:rPr>
                <w:b w:val="0"/>
                <w:color w:val="5E6270"/>
                <w:sz w:val="16"/>
              </w:rPr>
              <w:t>Rejected</w:t>
            </w:r>
          </w:p>
          <w:p>
            <w:pPr>
              <w:spacing w:after="40"/>
            </w:pPr>
            <w:r>
              <w:rPr>
                <w:b w:val="0"/>
                <w:color w:val="5E6270"/>
                <w:sz w:val="16"/>
              </w:rPr>
              <w:t>Checked against the rules</w:t>
            </w:r>
          </w:p>
          <w:p>
            <w:pPr>
              <w:spacing w:after="40"/>
            </w:pPr>
            <w:r>
              <w:rPr>
                <w:b w:val="0"/>
                <w:color w:val="5E6270"/>
                <w:sz w:val="16"/>
              </w:rPr>
              <w:t>Ineligible investor: rejected</w:t>
            </w:r>
          </w:p>
        </w:tc>
        <w:tc>
          <w:tcPr>
            <w:tcW w:type="dxa" w:w="3742"/>
          </w:tcPr>
          <w:p>
            <w:pPr>
              <w:spacing w:after="40"/>
            </w:pPr>
            <w:r/>
            <w:r>
              <w:rPr>
                <w:b w:val="0"/>
                <w:color w:val="5E6270"/>
                <w:sz w:val="16"/>
              </w:rPr>
              <w:t>A token leaves the first wallet for the rules check in the platform window, addressed to an ineligible investor. The Wholesale investors only rule fails, the transfer is stamped Rejected and the token returns to its wallet. Nothing reaches the network.</w:t>
            </w:r>
          </w:p>
        </w:tc>
      </w:tr>
      <w:tr>
        <w:tc>
          <w:tcPr>
            <w:tcW w:type="dxa" w:w="1134"/>
          </w:tcPr>
          <w:p>
            <w:pPr>
              <w:spacing w:after="40"/>
            </w:pPr>
            <w:r/>
            <w:r>
              <w:rPr>
                <w:rFonts w:ascii="JetBrains Mono" w:hAnsi="JetBrains Mono"/>
                <w:b w:val="0"/>
                <w:color w:val="343740"/>
                <w:sz w:val="16"/>
              </w:rPr>
              <w:t>0:59.3 to 1:09.7</w:t>
            </w:r>
          </w:p>
        </w:tc>
        <w:tc>
          <w:tcPr>
            <w:tcW w:type="dxa" w:w="1928"/>
          </w:tcPr>
          <w:p>
            <w:pPr>
              <w:spacing w:after="40"/>
            </w:pPr>
            <w:r/>
            <w:r>
              <w:rPr>
                <w:b/>
                <w:color w:val="343740"/>
                <w:sz w:val="18"/>
              </w:rPr>
              <w:t>Settlement</w:t>
            </w:r>
          </w:p>
        </w:tc>
        <w:tc>
          <w:tcPr>
            <w:tcW w:type="dxa" w:w="4762"/>
          </w:tcPr>
          <w:p>
            <w:pPr>
              <w:spacing w:after="40"/>
            </w:pPr>
            <w:r/>
            <w:r>
              <w:rPr>
                <w:b w:val="0"/>
                <w:color w:val="343740"/>
                <w:sz w:val="18"/>
              </w:rPr>
              <w:t>A compliant one settles on Redbelly in seconds. When investors hold their own wallets, transfer and payment complete together. Once confirmed, it is final.</w:t>
            </w:r>
          </w:p>
        </w:tc>
        <w:tc>
          <w:tcPr>
            <w:tcW w:type="dxa" w:w="3175"/>
          </w:tcPr>
          <w:p>
            <w:pPr>
              <w:spacing w:after="40"/>
            </w:pPr>
            <w:r/>
            <w:r>
              <w:rPr>
                <w:b w:val="0"/>
                <w:color w:val="5E6270"/>
                <w:sz w:val="16"/>
              </w:rPr>
              <w:t>Eligible investor</w:t>
            </w:r>
          </w:p>
          <w:p>
            <w:pPr>
              <w:spacing w:after="40"/>
            </w:pPr>
            <w:r>
              <w:rPr>
                <w:b w:val="0"/>
                <w:color w:val="5E6270"/>
                <w:sz w:val="16"/>
              </w:rPr>
              <w:t>Checks passed</w:t>
            </w:r>
          </w:p>
          <w:p>
            <w:pPr>
              <w:spacing w:after="40"/>
            </w:pPr>
            <w:r>
              <w:rPr>
                <w:b w:val="0"/>
                <w:color w:val="5E6270"/>
                <w:sz w:val="16"/>
              </w:rPr>
              <w:t>Settles in seconds</w:t>
            </w:r>
          </w:p>
          <w:p>
            <w:pPr>
              <w:spacing w:after="40"/>
            </w:pPr>
            <w:r>
              <w:rPr>
                <w:b w:val="0"/>
                <w:color w:val="5E6270"/>
                <w:sz w:val="16"/>
              </w:rPr>
              <w:t>Transfer and payment, together</w:t>
            </w:r>
          </w:p>
          <w:p>
            <w:pPr>
              <w:spacing w:after="40"/>
            </w:pPr>
            <w:r>
              <w:rPr>
                <w:b w:val="0"/>
                <w:color w:val="5E6270"/>
                <w:sz w:val="16"/>
              </w:rPr>
              <w:t>Final</w:t>
            </w:r>
          </w:p>
          <w:p>
            <w:pPr>
              <w:spacing w:after="40"/>
            </w:pPr>
            <w:r>
              <w:rPr>
                <w:b w:val="0"/>
                <w:color w:val="5E6270"/>
                <w:sz w:val="16"/>
              </w:rPr>
              <w:t>Final once confirmed</w:t>
            </w:r>
          </w:p>
        </w:tc>
        <w:tc>
          <w:tcPr>
            <w:tcW w:type="dxa" w:w="3742"/>
          </w:tcPr>
          <w:p>
            <w:pPr>
              <w:spacing w:after="40"/>
            </w:pPr>
            <w:r/>
            <w:r>
              <w:rPr>
                <w:b w:val="0"/>
                <w:color w:val="5E6270"/>
                <w:sz w:val="16"/>
              </w:rPr>
              <w:t>The same token is sent to an eligible investor. Both rules pass. On the Redbelly Network layer the token and the payment cross between the two wallets at the same block, which then locks and is marked Final.</w:t>
            </w:r>
          </w:p>
        </w:tc>
      </w:tr>
      <w:tr>
        <w:tc>
          <w:tcPr>
            <w:tcW w:type="dxa" w:w="1134"/>
          </w:tcPr>
          <w:p>
            <w:pPr>
              <w:spacing w:after="40"/>
            </w:pPr>
            <w:r/>
            <w:r>
              <w:rPr>
                <w:rFonts w:ascii="JetBrains Mono" w:hAnsi="JetBrains Mono"/>
                <w:b w:val="0"/>
                <w:color w:val="343740"/>
                <w:sz w:val="16"/>
              </w:rPr>
              <w:t>1:09.7 to 1:15.3</w:t>
            </w:r>
          </w:p>
        </w:tc>
        <w:tc>
          <w:tcPr>
            <w:tcW w:type="dxa" w:w="1928"/>
          </w:tcPr>
          <w:p>
            <w:pPr>
              <w:spacing w:after="40"/>
            </w:pPr>
            <w:r/>
            <w:r>
              <w:rPr>
                <w:b/>
                <w:color w:val="343740"/>
                <w:sz w:val="18"/>
              </w:rPr>
              <w:t>The record</w:t>
            </w:r>
          </w:p>
        </w:tc>
        <w:tc>
          <w:tcPr>
            <w:tcW w:type="dxa" w:w="4762"/>
          </w:tcPr>
          <w:p>
            <w:pPr>
              <w:spacing w:after="40"/>
            </w:pPr>
            <w:r/>
            <w:r>
              <w:rPr>
                <w:b w:val="0"/>
                <w:color w:val="343740"/>
                <w:sz w:val="18"/>
              </w:rPr>
              <w:t>Every check, transfer and rejection is recorded, ready for auditors and regulators.</w:t>
            </w:r>
          </w:p>
        </w:tc>
        <w:tc>
          <w:tcPr>
            <w:tcW w:type="dxa" w:w="3175"/>
          </w:tcPr>
          <w:p>
            <w:pPr>
              <w:spacing w:after="40"/>
            </w:pPr>
            <w:r/>
            <w:r>
              <w:rPr>
                <w:b w:val="0"/>
                <w:color w:val="5E6270"/>
                <w:sz w:val="16"/>
              </w:rPr>
              <w:t>Audit trail</w:t>
            </w:r>
          </w:p>
          <w:p>
            <w:pPr>
              <w:spacing w:after="40"/>
            </w:pPr>
            <w:r>
              <w:rPr>
                <w:b w:val="0"/>
                <w:color w:val="5E6270"/>
                <w:sz w:val="16"/>
              </w:rPr>
              <w:t>Recorded</w:t>
            </w:r>
          </w:p>
          <w:p>
            <w:pPr>
              <w:spacing w:after="40"/>
            </w:pPr>
            <w:r>
              <w:rPr>
                <w:b w:val="0"/>
                <w:color w:val="5E6270"/>
                <w:sz w:val="16"/>
              </w:rPr>
              <w:t>Audit log</w:t>
            </w:r>
          </w:p>
          <w:p>
            <w:pPr>
              <w:spacing w:after="40"/>
            </w:pPr>
            <w:r>
              <w:rPr>
                <w:b w:val="0"/>
                <w:color w:val="5E6270"/>
                <w:sz w:val="16"/>
              </w:rPr>
              <w:t>Check</w:t>
            </w:r>
          </w:p>
          <w:p>
            <w:pPr>
              <w:spacing w:after="40"/>
            </w:pPr>
            <w:r>
              <w:rPr>
                <w:b w:val="0"/>
                <w:color w:val="5E6270"/>
                <w:sz w:val="16"/>
              </w:rPr>
              <w:t>Transfer</w:t>
            </w:r>
          </w:p>
          <w:p>
            <w:pPr>
              <w:spacing w:after="40"/>
            </w:pPr>
            <w:r>
              <w:rPr>
                <w:b w:val="0"/>
                <w:color w:val="5E6270"/>
                <w:sz w:val="16"/>
              </w:rPr>
              <w:t>Rejection</w:t>
            </w:r>
          </w:p>
          <w:p>
            <w:pPr>
              <w:spacing w:after="40"/>
            </w:pPr>
            <w:r>
              <w:rPr>
                <w:b w:val="0"/>
                <w:color w:val="5E6270"/>
                <w:sz w:val="16"/>
              </w:rPr>
              <w:t>10:41:52</w:t>
            </w:r>
          </w:p>
          <w:p>
            <w:pPr>
              <w:spacing w:after="40"/>
            </w:pPr>
            <w:r>
              <w:rPr>
                <w:b w:val="0"/>
                <w:color w:val="5E6270"/>
                <w:sz w:val="16"/>
              </w:rPr>
              <w:t>10:42:05</w:t>
            </w:r>
          </w:p>
          <w:p>
            <w:pPr>
              <w:spacing w:after="40"/>
            </w:pPr>
            <w:r>
              <w:rPr>
                <w:b w:val="0"/>
                <w:color w:val="5E6270"/>
                <w:sz w:val="16"/>
              </w:rPr>
              <w:t>10:42:06</w:t>
            </w:r>
          </w:p>
          <w:p>
            <w:pPr>
              <w:spacing w:after="40"/>
            </w:pPr>
            <w:r>
              <w:rPr>
                <w:b w:val="0"/>
                <w:color w:val="5E6270"/>
                <w:sz w:val="16"/>
              </w:rPr>
              <w:t>Auditors</w:t>
            </w:r>
          </w:p>
          <w:p>
            <w:pPr>
              <w:spacing w:after="40"/>
            </w:pPr>
            <w:r>
              <w:rPr>
                <w:b w:val="0"/>
                <w:color w:val="5E6270"/>
                <w:sz w:val="16"/>
              </w:rPr>
              <w:t>Regulators</w:t>
            </w:r>
          </w:p>
          <w:p>
            <w:pPr>
              <w:spacing w:after="40"/>
            </w:pPr>
            <w:r>
              <w:rPr>
                <w:b w:val="0"/>
                <w:color w:val="5E6270"/>
                <w:sz w:val="16"/>
              </w:rPr>
              <w:t>Ready for auditors and regulators</w:t>
            </w:r>
          </w:p>
        </w:tc>
        <w:tc>
          <w:tcPr>
            <w:tcW w:type="dxa" w:w="3742"/>
          </w:tcPr>
          <w:p>
            <w:pPr>
              <w:spacing w:after="40"/>
            </w:pPr>
            <w:r/>
            <w:r>
              <w:rPr>
                <w:b w:val="0"/>
                <w:color w:val="5E6270"/>
                <w:sz w:val="16"/>
              </w:rPr>
              <w:t>The platform window shows an audit log: a check, a transfer and a rejection, each marked Recorded, while matching blocks lock on the network layer. Two readers, Auditors and Regulators, connect to the log.</w:t>
            </w:r>
          </w:p>
        </w:tc>
      </w:tr>
      <w:tr>
        <w:tc>
          <w:tcPr>
            <w:tcW w:type="dxa" w:w="1134"/>
          </w:tcPr>
          <w:p>
            <w:pPr>
              <w:spacing w:after="40"/>
            </w:pPr>
            <w:r/>
            <w:r>
              <w:rPr>
                <w:rFonts w:ascii="JetBrains Mono" w:hAnsi="JetBrains Mono"/>
                <w:b w:val="0"/>
                <w:color w:val="343740"/>
                <w:sz w:val="16"/>
              </w:rPr>
              <w:t>1:15.3 to 1:22.5</w:t>
            </w:r>
          </w:p>
        </w:tc>
        <w:tc>
          <w:tcPr>
            <w:tcW w:type="dxa" w:w="1928"/>
          </w:tcPr>
          <w:p>
            <w:pPr>
              <w:spacing w:after="40"/>
            </w:pPr>
            <w:r/>
            <w:r>
              <w:rPr>
                <w:b/>
                <w:color w:val="343740"/>
                <w:sz w:val="18"/>
              </w:rPr>
              <w:t>Same asset, new record</w:t>
            </w:r>
          </w:p>
        </w:tc>
        <w:tc>
          <w:tcPr>
            <w:tcW w:type="dxa" w:w="4762"/>
          </w:tcPr>
          <w:p>
            <w:pPr>
              <w:spacing w:after="40"/>
            </w:pPr>
            <w:r/>
            <w:r>
              <w:rPr>
                <w:b w:val="0"/>
                <w:color w:val="343740"/>
                <w:sz w:val="18"/>
              </w:rPr>
              <w:t>Same farmland, same fund. Its units are now compliant tokens on Redbelly Network, issued through Tokeniser.</w:t>
            </w:r>
          </w:p>
        </w:tc>
        <w:tc>
          <w:tcPr>
            <w:tcW w:type="dxa" w:w="3175"/>
          </w:tcPr>
          <w:p>
            <w:pPr>
              <w:spacing w:after="40"/>
            </w:pPr>
            <w:r/>
            <w:r>
              <w:rPr>
                <w:b w:val="0"/>
                <w:color w:val="5E6270"/>
                <w:sz w:val="16"/>
              </w:rPr>
              <w:t>The result</w:t>
            </w:r>
          </w:p>
          <w:p>
            <w:pPr>
              <w:spacing w:after="40"/>
            </w:pPr>
            <w:r>
              <w:rPr>
                <w:b w:val="0"/>
                <w:color w:val="5E6270"/>
                <w:sz w:val="16"/>
              </w:rPr>
              <w:t>Same farmland, same fund.</w:t>
            </w:r>
          </w:p>
          <w:p>
            <w:pPr>
              <w:spacing w:after="40"/>
            </w:pPr>
            <w:r>
              <w:rPr>
                <w:b w:val="0"/>
                <w:color w:val="5E6270"/>
                <w:sz w:val="16"/>
              </w:rPr>
              <w:t>Now compliant tokens on Redbelly Network</w:t>
            </w:r>
          </w:p>
          <w:p>
            <w:pPr>
              <w:spacing w:after="40"/>
            </w:pPr>
            <w:r>
              <w:rPr>
                <w:b w:val="0"/>
                <w:color w:val="5E6270"/>
                <w:sz w:val="16"/>
              </w:rPr>
              <w:t>Issued through Tokeniser</w:t>
            </w:r>
          </w:p>
        </w:tc>
        <w:tc>
          <w:tcPr>
            <w:tcW w:type="dxa" w:w="3742"/>
          </w:tcPr>
          <w:p>
            <w:pPr>
              <w:spacing w:after="40"/>
            </w:pPr>
            <w:r/>
            <w:r>
              <w:rPr>
                <w:b w:val="0"/>
                <w:color w:val="5E6270"/>
                <w:sz w:val="16"/>
              </w:rPr>
              <w:t>The farmland returns at the top, unchanged, linked by dashed lines to the tokens held in the wallets on the Redbelly Network layer. All four steps on the rail are complete.</w:t>
            </w:r>
          </w:p>
        </w:tc>
      </w:tr>
      <w:tr>
        <w:tc>
          <w:tcPr>
            <w:tcW w:type="dxa" w:w="1134"/>
          </w:tcPr>
          <w:p>
            <w:pPr>
              <w:spacing w:after="40"/>
            </w:pPr>
            <w:r/>
            <w:r>
              <w:rPr>
                <w:rFonts w:ascii="JetBrains Mono" w:hAnsi="JetBrains Mono"/>
                <w:b w:val="0"/>
                <w:color w:val="343740"/>
                <w:sz w:val="16"/>
              </w:rPr>
              <w:t>1:22.5 to 1:26.7</w:t>
            </w:r>
          </w:p>
        </w:tc>
        <w:tc>
          <w:tcPr>
            <w:tcW w:type="dxa" w:w="1928"/>
          </w:tcPr>
          <w:p>
            <w:pPr>
              <w:spacing w:after="40"/>
            </w:pPr>
            <w:r/>
            <w:r>
              <w:rPr>
                <w:b/>
                <w:color w:val="343740"/>
                <w:sz w:val="18"/>
              </w:rPr>
              <w:t>Close</w:t>
            </w:r>
          </w:p>
        </w:tc>
        <w:tc>
          <w:tcPr>
            <w:tcW w:type="dxa" w:w="4762"/>
          </w:tcPr>
          <w:p>
            <w:pPr>
              <w:spacing w:after="40"/>
            </w:pPr>
            <w:r/>
            <w:r>
              <w:rPr>
                <w:b w:val="0"/>
                <w:color w:val="343740"/>
                <w:sz w:val="18"/>
              </w:rPr>
              <w:t>(no voiceover, end card holds)</w:t>
            </w:r>
          </w:p>
        </w:tc>
        <w:tc>
          <w:tcPr>
            <w:tcW w:type="dxa" w:w="3175"/>
          </w:tcPr>
          <w:p>
            <w:pPr>
              <w:spacing w:after="40"/>
            </w:pPr>
            <w:r/>
            <w:r>
              <w:rPr>
                <w:b w:val="0"/>
                <w:color w:val="5E6270"/>
                <w:sz w:val="16"/>
              </w:rPr>
              <w:t>Built on Redbelly Network</w:t>
            </w:r>
          </w:p>
          <w:p>
            <w:pPr>
              <w:spacing w:after="40"/>
            </w:pPr>
            <w:r>
              <w:rPr>
                <w:b w:val="0"/>
                <w:color w:val="5E6270"/>
                <w:sz w:val="16"/>
              </w:rPr>
              <w:t>tokeniser.com</w:t>
            </w:r>
          </w:p>
          <w:p>
            <w:pPr>
              <w:spacing w:after="40"/>
            </w:pPr>
            <w:r>
              <w:rPr>
                <w:b w:val="0"/>
                <w:color w:val="5E6270"/>
                <w:sz w:val="16"/>
              </w:rPr>
              <w:t>Illustrative example. General information only, not financial advice.</w:t>
            </w:r>
          </w:p>
        </w:tc>
        <w:tc>
          <w:tcPr>
            <w:tcW w:type="dxa" w:w="3742"/>
          </w:tcPr>
          <w:p>
            <w:pPr>
              <w:spacing w:after="40"/>
            </w:pPr>
            <w:r/>
            <w:r>
              <w:rPr>
                <w:b w:val="0"/>
                <w:color w:val="5E6270"/>
                <w:sz w:val="16"/>
              </w:rPr>
              <w:t>Calm slate end card: the Tokeniser logo, Built on Redbelly Network with the Redbelly Network logo, tokeniser.com and the illustrative example note.</w:t>
            </w:r>
          </w:p>
        </w:tc>
      </w:tr>
    </w:tbl>
    <w:p>
      <w:r>
        <w:br w:type="page"/>
      </w:r>
    </w:p>
    <w:p>
      <w:pPr>
        <w:spacing w:after="80"/>
      </w:pPr>
      <w:r>
        <w:rPr>
          <w:b/>
          <w:i w:val="0"/>
          <w:color w:val="343740"/>
          <w:sz w:val="32"/>
        </w:rPr>
        <w:t>2. Fact check</w:t>
      </w:r>
    </w:p>
    <w:p>
      <w:pPr>
        <w:spacing w:after="120"/>
      </w:pPr>
      <w:r>
        <w:rPr>
          <w:b w:val="0"/>
          <w:i w:val="0"/>
          <w:color w:val="5E6270"/>
          <w:sz w:val="18"/>
        </w:rPr>
        <w:t>Every claim about Redbelly Network or Tokeniser, with the exact words of the supplied resource it comes from. Quotes are verbatim and are checked automatically against dated snapshots of each page (tools/check.py).</w:t>
      </w:r>
    </w:p>
    <w:tbl>
      <w:tblPr>
        <w:tblStyle w:val="TableGrid"/>
        <w:tblW w:type="auto" w:w="0"/>
        <w:tblLook w:firstColumn="1" w:firstRow="1" w:lastColumn="0" w:lastRow="0" w:noHBand="0" w:noVBand="1" w:val="04A0"/>
      </w:tblPr>
      <w:tblGrid>
        <w:gridCol w:w="3699"/>
        <w:gridCol w:w="3699"/>
        <w:gridCol w:w="3699"/>
        <w:gridCol w:w="3699"/>
      </w:tblGrid>
      <w:tr>
        <w:trPr>
          <w:tblHeader w:val="true"/>
        </w:trPr>
        <w:tc>
          <w:tcPr>
            <w:tcW w:type="dxa" w:w="907"/>
            <w:shd w:val="clear" w:color="auto" w:fill="343740"/>
          </w:tcPr>
          <w:p>
            <w:pPr>
              <w:spacing w:after="40"/>
            </w:pPr>
            <w:r/>
            <w:r>
              <w:rPr>
                <w:b/>
                <w:color w:val="FFFFFF"/>
                <w:sz w:val="18"/>
              </w:rPr>
              <w:t>Scene</w:t>
            </w:r>
          </w:p>
        </w:tc>
        <w:tc>
          <w:tcPr>
            <w:tcW w:type="dxa" w:w="3969"/>
            <w:shd w:val="clear" w:color="auto" w:fill="343740"/>
          </w:tcPr>
          <w:p>
            <w:pPr>
              <w:spacing w:after="40"/>
            </w:pPr>
            <w:r/>
            <w:r>
              <w:rPr>
                <w:b/>
                <w:color w:val="FFFFFF"/>
                <w:sz w:val="18"/>
              </w:rPr>
              <w:t>Claim in the video</w:t>
            </w:r>
          </w:p>
        </w:tc>
        <w:tc>
          <w:tcPr>
            <w:tcW w:type="dxa" w:w="6009"/>
            <w:shd w:val="clear" w:color="auto" w:fill="343740"/>
          </w:tcPr>
          <w:p>
            <w:pPr>
              <w:spacing w:after="40"/>
            </w:pPr>
            <w:r/>
            <w:r>
              <w:rPr>
                <w:b/>
                <w:color w:val="FFFFFF"/>
                <w:sz w:val="18"/>
              </w:rPr>
              <w:t>Source quote (verbatim)</w:t>
            </w:r>
          </w:p>
        </w:tc>
        <w:tc>
          <w:tcPr>
            <w:tcW w:type="dxa" w:w="3855"/>
            <w:shd w:val="clear" w:color="auto" w:fill="343740"/>
          </w:tcPr>
          <w:p>
            <w:pPr>
              <w:spacing w:after="40"/>
            </w:pPr>
            <w:r/>
            <w:r>
              <w:rPr>
                <w:b/>
                <w:color w:val="FFFFFF"/>
                <w:sz w:val="18"/>
              </w:rPr>
              <w:t>Source</w:t>
            </w:r>
          </w:p>
        </w:tc>
      </w:tr>
      <w:tr>
        <w:tc>
          <w:tcPr>
            <w:tcW w:type="dxa" w:w="907"/>
          </w:tcPr>
          <w:p>
            <w:pPr>
              <w:spacing w:after="40"/>
            </w:pPr>
            <w:r/>
            <w:r>
              <w:rPr>
                <w:rFonts w:ascii="JetBrains Mono" w:hAnsi="JetBrains Mono"/>
                <w:b/>
                <w:color w:val="343740"/>
                <w:sz w:val="16"/>
              </w:rPr>
              <w:t>S02</w:t>
            </w:r>
          </w:p>
        </w:tc>
        <w:tc>
          <w:tcPr>
            <w:tcW w:type="dxa" w:w="3969"/>
          </w:tcPr>
          <w:p>
            <w:pPr>
              <w:spacing w:after="40"/>
            </w:pPr>
            <w:r/>
            <w:r>
              <w:rPr>
                <w:b w:val="0"/>
                <w:color w:val="343740"/>
                <w:sz w:val="18"/>
              </w:rPr>
              <w:t>Fund registers today are commonly kept across separate systems and updated after the fact.</w:t>
            </w:r>
          </w:p>
        </w:tc>
        <w:tc>
          <w:tcPr>
            <w:tcW w:type="dxa" w:w="6009"/>
          </w:tcPr>
          <w:p>
            <w:pPr>
              <w:spacing w:after="40"/>
            </w:pPr>
            <w:r/>
            <w:r>
              <w:rPr>
                <w:b w:val="0"/>
                <w:color w:val="343740"/>
                <w:sz w:val="18"/>
              </w:rPr>
              <w:t>“Most fund registers are updated after the fact, across several systems that require manual reconciliation.”</w:t>
            </w:r>
          </w:p>
        </w:tc>
        <w:tc>
          <w:tcPr>
            <w:tcW w:type="dxa" w:w="3855"/>
          </w:tcPr>
          <w:p>
            <w:pPr>
              <w:spacing w:after="40"/>
            </w:pPr>
            <w:r/>
            <w:r>
              <w:rPr>
                <w:b w:val="0"/>
                <w:color w:val="5E6270"/>
                <w:sz w:val="16"/>
              </w:rPr>
              <w:t>https://tokeniser.com/product/superpowers/real-time-transparency</w:t>
            </w:r>
          </w:p>
          <w:p>
            <w:pPr>
              <w:spacing w:after="40"/>
            </w:pPr>
            <w:r>
              <w:rPr>
                <w:b w:val="0"/>
                <w:color w:val="5E6270"/>
                <w:sz w:val="16"/>
              </w:rPr>
              <w:t>Snapshot 2026-10-25</w:t>
            </w:r>
          </w:p>
        </w:tc>
      </w:tr>
      <w:tr>
        <w:tc>
          <w:tcPr>
            <w:tcW w:type="dxa" w:w="907"/>
          </w:tcPr>
          <w:p>
            <w:pPr>
              <w:spacing w:after="40"/>
            </w:pPr>
            <w:r/>
            <w:r>
              <w:rPr>
                <w:rFonts w:ascii="JetBrains Mono" w:hAnsi="JetBrains Mono"/>
                <w:b/>
                <w:color w:val="343740"/>
                <w:sz w:val="16"/>
              </w:rPr>
              <w:t>S02</w:t>
            </w:r>
          </w:p>
        </w:tc>
        <w:tc>
          <w:tcPr>
            <w:tcW w:type="dxa" w:w="3969"/>
          </w:tcPr>
          <w:p>
            <w:pPr>
              <w:spacing w:after="40"/>
            </w:pPr>
            <w:r/>
            <w:r>
              <w:rPr>
                <w:b w:val="0"/>
                <w:color w:val="343740"/>
                <w:sz w:val="18"/>
              </w:rPr>
              <w:t>Tokeniser is built for Australian funds.</w:t>
            </w:r>
          </w:p>
        </w:tc>
        <w:tc>
          <w:tcPr>
            <w:tcW w:type="dxa" w:w="6009"/>
          </w:tcPr>
          <w:p>
            <w:pPr>
              <w:spacing w:after="40"/>
            </w:pPr>
            <w:r/>
            <w:r>
              <w:rPr>
                <w:b w:val="0"/>
                <w:color w:val="343740"/>
                <w:sz w:val="18"/>
              </w:rPr>
              <w:t>“Give your Australian fund a global edge”</w:t>
            </w:r>
          </w:p>
        </w:tc>
        <w:tc>
          <w:tcPr>
            <w:tcW w:type="dxa" w:w="3855"/>
          </w:tcPr>
          <w:p>
            <w:pPr>
              <w:spacing w:after="40"/>
            </w:pPr>
            <w:r/>
            <w:r>
              <w:rPr>
                <w:b w:val="0"/>
                <w:color w:val="5E6270"/>
                <w:sz w:val="16"/>
              </w:rPr>
              <w:t>https://tokeniser.com/</w:t>
            </w:r>
          </w:p>
          <w:p>
            <w:pPr>
              <w:spacing w:after="40"/>
            </w:pPr>
            <w:r>
              <w:rPr>
                <w:b w:val="0"/>
                <w:color w:val="5E6270"/>
                <w:sz w:val="16"/>
              </w:rPr>
              <w:t>Snapshot 2026-10-25</w:t>
            </w:r>
          </w:p>
        </w:tc>
      </w:tr>
      <w:tr>
        <w:tc>
          <w:tcPr>
            <w:tcW w:type="dxa" w:w="907"/>
          </w:tcPr>
          <w:p>
            <w:pPr>
              <w:spacing w:after="40"/>
            </w:pPr>
            <w:r/>
            <w:r>
              <w:rPr>
                <w:rFonts w:ascii="JetBrains Mono" w:hAnsi="JetBrains Mono"/>
                <w:b/>
                <w:color w:val="343740"/>
                <w:sz w:val="16"/>
              </w:rPr>
              <w:t>S03</w:t>
            </w:r>
          </w:p>
        </w:tc>
        <w:tc>
          <w:tcPr>
            <w:tcW w:type="dxa" w:w="3969"/>
          </w:tcPr>
          <w:p>
            <w:pPr>
              <w:spacing w:after="40"/>
            </w:pPr>
            <w:r/>
            <w:r>
              <w:rPr>
                <w:b w:val="0"/>
                <w:color w:val="343740"/>
                <w:sz w:val="18"/>
              </w:rPr>
              <w:t>Tokenisation records ownership as digital tokens and lets the issuer program the rules of the asset.</w:t>
            </w:r>
          </w:p>
        </w:tc>
        <w:tc>
          <w:tcPr>
            <w:tcW w:type="dxa" w:w="6009"/>
          </w:tcPr>
          <w:p>
            <w:pPr>
              <w:spacing w:after="40"/>
            </w:pPr>
            <w:r/>
            <w:r>
              <w:rPr>
                <w:b w:val="0"/>
                <w:color w:val="343740"/>
                <w:sz w:val="18"/>
              </w:rPr>
              <w:t>“Tokenisation records ownership of financial products and services as digital tokens, and lets you program the rules of the asset.”</w:t>
            </w:r>
          </w:p>
        </w:tc>
        <w:tc>
          <w:tcPr>
            <w:tcW w:type="dxa" w:w="3855"/>
          </w:tcPr>
          <w:p>
            <w:pPr>
              <w:spacing w:after="40"/>
            </w:pPr>
            <w:r/>
            <w:r>
              <w:rPr>
                <w:b w:val="0"/>
                <w:color w:val="5E6270"/>
                <w:sz w:val="16"/>
              </w:rPr>
              <w:t>https://tokeniser.com/</w:t>
            </w:r>
          </w:p>
          <w:p>
            <w:pPr>
              <w:spacing w:after="40"/>
            </w:pPr>
            <w:r>
              <w:rPr>
                <w:b w:val="0"/>
                <w:color w:val="5E6270"/>
                <w:sz w:val="16"/>
              </w:rPr>
              <w:t>Snapshot 2026-10-25</w:t>
            </w:r>
          </w:p>
        </w:tc>
      </w:tr>
      <w:tr>
        <w:tc>
          <w:tcPr>
            <w:tcW w:type="dxa" w:w="907"/>
          </w:tcPr>
          <w:p>
            <w:pPr>
              <w:spacing w:after="40"/>
            </w:pPr>
            <w:r/>
            <w:r>
              <w:rPr>
                <w:rFonts w:ascii="JetBrains Mono" w:hAnsi="JetBrains Mono"/>
                <w:b/>
                <w:color w:val="343740"/>
                <w:sz w:val="16"/>
              </w:rPr>
              <w:t>S04</w:t>
            </w:r>
          </w:p>
        </w:tc>
        <w:tc>
          <w:tcPr>
            <w:tcW w:type="dxa" w:w="3969"/>
          </w:tcPr>
          <w:p>
            <w:pPr>
              <w:spacing w:after="40"/>
            </w:pPr>
            <w:r/>
            <w:r>
              <w:rPr>
                <w:b w:val="0"/>
                <w:color w:val="343740"/>
                <w:sz w:val="18"/>
              </w:rPr>
              <w:t>Tokeniser is a familiar platform with Redbelly Network running underneath it, described as Australia's public digital token infrastructure.</w:t>
            </w:r>
          </w:p>
        </w:tc>
        <w:tc>
          <w:tcPr>
            <w:tcW w:type="dxa" w:w="6009"/>
          </w:tcPr>
          <w:p>
            <w:pPr>
              <w:spacing w:after="40"/>
            </w:pPr>
            <w:r/>
            <w:r>
              <w:rPr>
                <w:b w:val="0"/>
                <w:color w:val="343740"/>
                <w:sz w:val="18"/>
              </w:rPr>
              <w:t>“Tokeniser gives you a familiar platform. Underneath it runs Redbelly Network, Australia's public digital token infrastructure”</w:t>
            </w:r>
          </w:p>
        </w:tc>
        <w:tc>
          <w:tcPr>
            <w:tcW w:type="dxa" w:w="3855"/>
          </w:tcPr>
          <w:p>
            <w:pPr>
              <w:spacing w:after="40"/>
            </w:pPr>
            <w:r/>
            <w:r>
              <w:rPr>
                <w:b w:val="0"/>
                <w:color w:val="5E6270"/>
                <w:sz w:val="16"/>
              </w:rPr>
              <w:t>https://tokeniser.com/technology</w:t>
            </w:r>
          </w:p>
          <w:p>
            <w:pPr>
              <w:spacing w:after="40"/>
            </w:pPr>
            <w:r>
              <w:rPr>
                <w:b w:val="0"/>
                <w:color w:val="5E6270"/>
                <w:sz w:val="16"/>
              </w:rPr>
              <w:t>Snapshot 2026-10-25</w:t>
            </w:r>
          </w:p>
        </w:tc>
      </w:tr>
      <w:tr>
        <w:tc>
          <w:tcPr>
            <w:tcW w:type="dxa" w:w="907"/>
          </w:tcPr>
          <w:p>
            <w:pPr>
              <w:spacing w:after="40"/>
            </w:pPr>
            <w:r/>
            <w:r>
              <w:rPr>
                <w:rFonts w:ascii="JetBrains Mono" w:hAnsi="JetBrains Mono"/>
                <w:b/>
                <w:color w:val="343740"/>
                <w:sz w:val="16"/>
              </w:rPr>
              <w:t>S04</w:t>
            </w:r>
          </w:p>
        </w:tc>
        <w:tc>
          <w:tcPr>
            <w:tcW w:type="dxa" w:w="3969"/>
          </w:tcPr>
          <w:p>
            <w:pPr>
              <w:spacing w:after="40"/>
            </w:pPr>
            <w:r/>
            <w:r>
              <w:rPr>
                <w:b w:val="0"/>
                <w:color w:val="343740"/>
                <w:sz w:val="18"/>
              </w:rPr>
              <w:t>Tokeniser operates on Redbelly Network.</w:t>
            </w:r>
          </w:p>
        </w:tc>
        <w:tc>
          <w:tcPr>
            <w:tcW w:type="dxa" w:w="6009"/>
          </w:tcPr>
          <w:p>
            <w:pPr>
              <w:spacing w:after="40"/>
            </w:pPr>
            <w:r/>
            <w:r>
              <w:rPr>
                <w:b w:val="0"/>
                <w:color w:val="343740"/>
                <w:sz w:val="18"/>
              </w:rPr>
              <w:t>“Tokeniser operates on Redbelly Network, Australia's public digital token infrastructure, with identity and eligibility built into the protocol.”</w:t>
            </w:r>
          </w:p>
        </w:tc>
        <w:tc>
          <w:tcPr>
            <w:tcW w:type="dxa" w:w="3855"/>
          </w:tcPr>
          <w:p>
            <w:pPr>
              <w:spacing w:after="40"/>
            </w:pPr>
            <w:r/>
            <w:r>
              <w:rPr>
                <w:b w:val="0"/>
                <w:color w:val="5E6270"/>
                <w:sz w:val="16"/>
              </w:rPr>
              <w:t>https://tokeniser.com/</w:t>
            </w:r>
          </w:p>
          <w:p>
            <w:pPr>
              <w:spacing w:after="40"/>
            </w:pPr>
            <w:r>
              <w:rPr>
                <w:b w:val="0"/>
                <w:color w:val="5E6270"/>
                <w:sz w:val="16"/>
              </w:rPr>
              <w:t>Snapshot 2026-10-25</w:t>
            </w:r>
          </w:p>
        </w:tc>
      </w:tr>
      <w:tr>
        <w:tc>
          <w:tcPr>
            <w:tcW w:type="dxa" w:w="907"/>
          </w:tcPr>
          <w:p>
            <w:pPr>
              <w:spacing w:after="40"/>
            </w:pPr>
            <w:r/>
            <w:r>
              <w:rPr>
                <w:rFonts w:ascii="JetBrains Mono" w:hAnsi="JetBrains Mono"/>
                <w:b/>
                <w:color w:val="343740"/>
                <w:sz w:val="16"/>
              </w:rPr>
              <w:t>S05</w:t>
            </w:r>
          </w:p>
        </w:tc>
        <w:tc>
          <w:tcPr>
            <w:tcW w:type="dxa" w:w="3969"/>
          </w:tcPr>
          <w:p>
            <w:pPr>
              <w:spacing w:after="40"/>
            </w:pPr>
            <w:r/>
            <w:r>
              <w:rPr>
                <w:b w:val="0"/>
                <w:color w:val="343740"/>
                <w:sz w:val="18"/>
              </w:rPr>
              <w:t>Setup includes entity verification and defining compliance rules.</w:t>
            </w:r>
          </w:p>
        </w:tc>
        <w:tc>
          <w:tcPr>
            <w:tcW w:type="dxa" w:w="6009"/>
          </w:tcPr>
          <w:p>
            <w:pPr>
              <w:spacing w:after="40"/>
            </w:pPr>
            <w:r/>
            <w:r>
              <w:rPr>
                <w:b w:val="0"/>
                <w:color w:val="343740"/>
                <w:sz w:val="18"/>
              </w:rPr>
              <w:t>“Complete entity verification, fund or company details, and administrator accounts.”</w:t>
            </w:r>
          </w:p>
        </w:tc>
        <w:tc>
          <w:tcPr>
            <w:tcW w:type="dxa" w:w="3855"/>
          </w:tcPr>
          <w:p>
            <w:pPr>
              <w:spacing w:after="40"/>
            </w:pPr>
            <w:r/>
            <w:r>
              <w:rPr>
                <w:b w:val="0"/>
                <w:color w:val="5E6270"/>
                <w:sz w:val="16"/>
              </w:rPr>
              <w:t>https://tokeniser.com/resources/knowledge-hub/platform/how-does-tokeniser-work</w:t>
            </w:r>
          </w:p>
          <w:p>
            <w:pPr>
              <w:spacing w:after="40"/>
            </w:pPr>
            <w:r>
              <w:rPr>
                <w:b w:val="0"/>
                <w:color w:val="5E6270"/>
                <w:sz w:val="16"/>
              </w:rPr>
              <w:t>Snapshot 2026-10-25</w:t>
            </w:r>
          </w:p>
        </w:tc>
      </w:tr>
      <w:tr>
        <w:tc>
          <w:tcPr>
            <w:tcW w:type="dxa" w:w="907"/>
          </w:tcPr>
          <w:p>
            <w:pPr>
              <w:spacing w:after="40"/>
            </w:pPr>
            <w:r/>
            <w:r>
              <w:rPr>
                <w:rFonts w:ascii="JetBrains Mono" w:hAnsi="JetBrains Mono"/>
                <w:b/>
                <w:color w:val="343740"/>
                <w:sz w:val="16"/>
              </w:rPr>
              <w:t>S05</w:t>
            </w:r>
          </w:p>
        </w:tc>
        <w:tc>
          <w:tcPr>
            <w:tcW w:type="dxa" w:w="3969"/>
          </w:tcPr>
          <w:p>
            <w:pPr>
              <w:spacing w:after="40"/>
            </w:pPr>
            <w:r/>
            <w:r>
              <w:rPr>
                <w:b w:val="0"/>
                <w:color w:val="343740"/>
                <w:sz w:val="18"/>
              </w:rPr>
              <w:t>Compliance rules are encoded into the token.</w:t>
            </w:r>
          </w:p>
        </w:tc>
        <w:tc>
          <w:tcPr>
            <w:tcW w:type="dxa" w:w="6009"/>
          </w:tcPr>
          <w:p>
            <w:pPr>
              <w:spacing w:after="40"/>
            </w:pPr>
            <w:r/>
            <w:r>
              <w:rPr>
                <w:b w:val="0"/>
                <w:color w:val="343740"/>
                <w:sz w:val="18"/>
              </w:rPr>
              <w:t>“Compliance parameters are encoded into the token smart contract and can be updated on-chain.”</w:t>
            </w:r>
          </w:p>
        </w:tc>
        <w:tc>
          <w:tcPr>
            <w:tcW w:type="dxa" w:w="3855"/>
          </w:tcPr>
          <w:p>
            <w:pPr>
              <w:spacing w:after="40"/>
            </w:pPr>
            <w:r/>
            <w:r>
              <w:rPr>
                <w:b w:val="0"/>
                <w:color w:val="5E6270"/>
                <w:sz w:val="16"/>
              </w:rPr>
              <w:t>https://tokeniser.com/resources/knowledge-hub/platform/how-does-tokeniser-work</w:t>
            </w:r>
          </w:p>
          <w:p>
            <w:pPr>
              <w:spacing w:after="40"/>
            </w:pPr>
            <w:r>
              <w:rPr>
                <w:b w:val="0"/>
                <w:color w:val="5E6270"/>
                <w:sz w:val="16"/>
              </w:rPr>
              <w:t>Snapshot 2026-10-25</w:t>
            </w:r>
          </w:p>
        </w:tc>
      </w:tr>
      <w:tr>
        <w:tc>
          <w:tcPr>
            <w:tcW w:type="dxa" w:w="907"/>
          </w:tcPr>
          <w:p>
            <w:pPr>
              <w:spacing w:after="40"/>
            </w:pPr>
            <w:r/>
            <w:r>
              <w:rPr>
                <w:rFonts w:ascii="JetBrains Mono" w:hAnsi="JetBrains Mono"/>
                <w:b/>
                <w:color w:val="343740"/>
                <w:sz w:val="16"/>
              </w:rPr>
              <w:t>S05</w:t>
            </w:r>
          </w:p>
        </w:tc>
        <w:tc>
          <w:tcPr>
            <w:tcW w:type="dxa" w:w="3969"/>
          </w:tcPr>
          <w:p>
            <w:pPr>
              <w:spacing w:after="40"/>
            </w:pPr>
            <w:r/>
            <w:r>
              <w:rPr>
                <w:b w:val="0"/>
                <w:color w:val="343740"/>
                <w:sz w:val="18"/>
              </w:rPr>
              <w:t>Wholesale investor thresholds and transfer restrictions are configurable rules.</w:t>
            </w:r>
          </w:p>
        </w:tc>
        <w:tc>
          <w:tcPr>
            <w:tcW w:type="dxa" w:w="6009"/>
          </w:tcPr>
          <w:p>
            <w:pPr>
              <w:spacing w:after="40"/>
            </w:pPr>
            <w:r/>
            <w:r>
              <w:rPr>
                <w:b w:val="0"/>
                <w:color w:val="343740"/>
                <w:sz w:val="18"/>
              </w:rPr>
              <w:t>“Foreign ownership limits, lock-up periods, and wholesale investor thresholds are all configurable compliance parameters.”</w:t>
            </w:r>
          </w:p>
        </w:tc>
        <w:tc>
          <w:tcPr>
            <w:tcW w:type="dxa" w:w="3855"/>
          </w:tcPr>
          <w:p>
            <w:pPr>
              <w:spacing w:after="40"/>
            </w:pPr>
            <w:r/>
            <w:r>
              <w:rPr>
                <w:b w:val="0"/>
                <w:color w:val="5E6270"/>
                <w:sz w:val="16"/>
              </w:rPr>
              <w:t>https://tokeniser.com/resources/knowledge-hub/australia/how-tokeniser-handles-investor-compliance</w:t>
            </w:r>
          </w:p>
          <w:p>
            <w:pPr>
              <w:spacing w:after="40"/>
            </w:pPr>
            <w:r>
              <w:rPr>
                <w:b w:val="0"/>
                <w:color w:val="5E6270"/>
                <w:sz w:val="16"/>
              </w:rPr>
              <w:t>Snapshot 2026-10-25</w:t>
            </w:r>
          </w:p>
        </w:tc>
      </w:tr>
      <w:tr>
        <w:tc>
          <w:tcPr>
            <w:tcW w:type="dxa" w:w="907"/>
          </w:tcPr>
          <w:p>
            <w:pPr>
              <w:spacing w:after="40"/>
            </w:pPr>
            <w:r/>
            <w:r>
              <w:rPr>
                <w:rFonts w:ascii="JetBrains Mono" w:hAnsi="JetBrains Mono"/>
                <w:b/>
                <w:color w:val="343740"/>
                <w:sz w:val="16"/>
              </w:rPr>
              <w:t>S06</w:t>
            </w:r>
          </w:p>
        </w:tc>
        <w:tc>
          <w:tcPr>
            <w:tcW w:type="dxa" w:w="3969"/>
          </w:tcPr>
          <w:p>
            <w:pPr>
              <w:spacing w:after="40"/>
            </w:pPr>
            <w:r/>
            <w:r>
              <w:rPr>
                <w:b w:val="0"/>
                <w:color w:val="343740"/>
                <w:sz w:val="18"/>
              </w:rPr>
              <w:t>Investors are verified through Averer before they can transact.</w:t>
            </w:r>
          </w:p>
        </w:tc>
        <w:tc>
          <w:tcPr>
            <w:tcW w:type="dxa" w:w="6009"/>
          </w:tcPr>
          <w:p>
            <w:pPr>
              <w:spacing w:after="40"/>
            </w:pPr>
            <w:r/>
            <w:r>
              <w:rPr>
                <w:b w:val="0"/>
                <w:color w:val="343740"/>
                <w:sz w:val="18"/>
              </w:rPr>
              <w:t>“Investors are verified by Averer before they can transact, with eligibility checks built into the protocol itself.”</w:t>
            </w:r>
          </w:p>
        </w:tc>
        <w:tc>
          <w:tcPr>
            <w:tcW w:type="dxa" w:w="3855"/>
          </w:tcPr>
          <w:p>
            <w:pPr>
              <w:spacing w:after="40"/>
            </w:pPr>
            <w:r/>
            <w:r>
              <w:rPr>
                <w:b w:val="0"/>
                <w:color w:val="5E6270"/>
                <w:sz w:val="16"/>
              </w:rPr>
              <w:t>https://tokeniser.com/product/getting-started</w:t>
            </w:r>
          </w:p>
          <w:p>
            <w:pPr>
              <w:spacing w:after="40"/>
            </w:pPr>
            <w:r>
              <w:rPr>
                <w:b w:val="0"/>
                <w:color w:val="5E6270"/>
                <w:sz w:val="16"/>
              </w:rPr>
              <w:t>Snapshot 2026-10-25</w:t>
            </w:r>
          </w:p>
        </w:tc>
      </w:tr>
      <w:tr>
        <w:tc>
          <w:tcPr>
            <w:tcW w:type="dxa" w:w="907"/>
          </w:tcPr>
          <w:p>
            <w:pPr>
              <w:spacing w:after="40"/>
            </w:pPr>
            <w:r/>
            <w:r>
              <w:rPr>
                <w:rFonts w:ascii="JetBrains Mono" w:hAnsi="JetBrains Mono"/>
                <w:b/>
                <w:color w:val="343740"/>
                <w:sz w:val="16"/>
              </w:rPr>
              <w:t>S06</w:t>
            </w:r>
          </w:p>
        </w:tc>
        <w:tc>
          <w:tcPr>
            <w:tcW w:type="dxa" w:w="3969"/>
          </w:tcPr>
          <w:p>
            <w:pPr>
              <w:spacing w:after="40"/>
            </w:pPr>
            <w:r/>
            <w:r>
              <w:rPr>
                <w:b w:val="0"/>
                <w:color w:val="343740"/>
                <w:sz w:val="18"/>
              </w:rPr>
              <w:t>Onboarding covers identity verification, investor classification and a wallet.</w:t>
            </w:r>
          </w:p>
        </w:tc>
        <w:tc>
          <w:tcPr>
            <w:tcW w:type="dxa" w:w="6009"/>
          </w:tcPr>
          <w:p>
            <w:pPr>
              <w:spacing w:after="40"/>
            </w:pPr>
            <w:r/>
            <w:r>
              <w:rPr>
                <w:b w:val="0"/>
                <w:color w:val="343740"/>
                <w:sz w:val="18"/>
              </w:rPr>
              <w:t>“Investors onboard to Tokeniser through a digital process: identity verification, investor classification under the Corporations Act, and wallet creation.”</w:t>
            </w:r>
          </w:p>
        </w:tc>
        <w:tc>
          <w:tcPr>
            <w:tcW w:type="dxa" w:w="3855"/>
          </w:tcPr>
          <w:p>
            <w:pPr>
              <w:spacing w:after="40"/>
            </w:pPr>
            <w:r/>
            <w:r>
              <w:rPr>
                <w:b w:val="0"/>
                <w:color w:val="5E6270"/>
                <w:sz w:val="16"/>
              </w:rPr>
              <w:t>https://tokeniser.com/resources/knowledge-hub/platform/how-does-tokeniser-work</w:t>
            </w:r>
          </w:p>
          <w:p>
            <w:pPr>
              <w:spacing w:after="40"/>
            </w:pPr>
            <w:r>
              <w:rPr>
                <w:b w:val="0"/>
                <w:color w:val="5E6270"/>
                <w:sz w:val="16"/>
              </w:rPr>
              <w:t>Snapshot 2026-10-25</w:t>
            </w:r>
          </w:p>
        </w:tc>
      </w:tr>
      <w:tr>
        <w:tc>
          <w:tcPr>
            <w:tcW w:type="dxa" w:w="907"/>
          </w:tcPr>
          <w:p>
            <w:pPr>
              <w:spacing w:after="40"/>
            </w:pPr>
            <w:r/>
            <w:r>
              <w:rPr>
                <w:rFonts w:ascii="JetBrains Mono" w:hAnsi="JetBrains Mono"/>
                <w:b/>
                <w:color w:val="343740"/>
                <w:sz w:val="16"/>
              </w:rPr>
              <w:t>S06</w:t>
            </w:r>
          </w:p>
        </w:tc>
        <w:tc>
          <w:tcPr>
            <w:tcW w:type="dxa" w:w="3969"/>
          </w:tcPr>
          <w:p>
            <w:pPr>
              <w:spacing w:after="40"/>
            </w:pPr>
            <w:r/>
            <w:r>
              <w:rPr>
                <w:b w:val="0"/>
                <w:color w:val="343740"/>
                <w:sz w:val="18"/>
              </w:rPr>
              <w:t>The wallet is on Redbelly Network and holds the investor's tokens.</w:t>
            </w:r>
          </w:p>
        </w:tc>
        <w:tc>
          <w:tcPr>
            <w:tcW w:type="dxa" w:w="6009"/>
          </w:tcPr>
          <w:p>
            <w:pPr>
              <w:spacing w:after="40"/>
            </w:pPr>
            <w:r/>
            <w:r>
              <w:rPr>
                <w:b w:val="0"/>
                <w:color w:val="343740"/>
                <w:sz w:val="18"/>
              </w:rPr>
              <w:t>“The investor's wallet is a digital wallet on Redbelly Network. It holds the tokens representing their ownership interest.”</w:t>
            </w:r>
          </w:p>
        </w:tc>
        <w:tc>
          <w:tcPr>
            <w:tcW w:type="dxa" w:w="3855"/>
          </w:tcPr>
          <w:p>
            <w:pPr>
              <w:spacing w:after="40"/>
            </w:pPr>
            <w:r/>
            <w:r>
              <w:rPr>
                <w:b w:val="0"/>
                <w:color w:val="5E6270"/>
                <w:sz w:val="16"/>
              </w:rPr>
              <w:t>https://tokeniser.com/resources/knowledge-hub/platform/how-does-tokeniser-work</w:t>
            </w:r>
          </w:p>
          <w:p>
            <w:pPr>
              <w:spacing w:after="40"/>
            </w:pPr>
            <w:r>
              <w:rPr>
                <w:b w:val="0"/>
                <w:color w:val="5E6270"/>
                <w:sz w:val="16"/>
              </w:rPr>
              <w:t>Snapshot 2026-10-25</w:t>
            </w:r>
          </w:p>
        </w:tc>
      </w:tr>
      <w:tr>
        <w:tc>
          <w:tcPr>
            <w:tcW w:type="dxa" w:w="907"/>
          </w:tcPr>
          <w:p>
            <w:pPr>
              <w:spacing w:after="40"/>
            </w:pPr>
            <w:r/>
            <w:r>
              <w:rPr>
                <w:rFonts w:ascii="JetBrains Mono" w:hAnsi="JetBrains Mono"/>
                <w:b/>
                <w:color w:val="343740"/>
                <w:sz w:val="16"/>
              </w:rPr>
              <w:t>S06</w:t>
            </w:r>
          </w:p>
        </w:tc>
        <w:tc>
          <w:tcPr>
            <w:tcW w:type="dxa" w:w="3969"/>
          </w:tcPr>
          <w:p>
            <w:pPr>
              <w:spacing w:after="40"/>
            </w:pPr>
            <w:r/>
            <w:r>
              <w:rPr>
                <w:b w:val="0"/>
                <w:color w:val="343740"/>
                <w:sz w:val="18"/>
              </w:rPr>
              <w:t>Investors who are not verified cannot receive tokens.</w:t>
            </w:r>
          </w:p>
        </w:tc>
        <w:tc>
          <w:tcPr>
            <w:tcW w:type="dxa" w:w="6009"/>
          </w:tcPr>
          <w:p>
            <w:pPr>
              <w:spacing w:after="40"/>
            </w:pPr>
            <w:r/>
            <w:r>
              <w:rPr>
                <w:b w:val="0"/>
                <w:color w:val="343740"/>
                <w:sz w:val="18"/>
              </w:rPr>
              <w:t>“Until onboarding is complete and the wallet is verified, tokens cannot be issued or transferred to that investor.”</w:t>
            </w:r>
          </w:p>
        </w:tc>
        <w:tc>
          <w:tcPr>
            <w:tcW w:type="dxa" w:w="3855"/>
          </w:tcPr>
          <w:p>
            <w:pPr>
              <w:spacing w:after="40"/>
            </w:pPr>
            <w:r/>
            <w:r>
              <w:rPr>
                <w:b w:val="0"/>
                <w:color w:val="5E6270"/>
                <w:sz w:val="16"/>
              </w:rPr>
              <w:t>https://tokeniser.com/resources/knowledge-hub/platform/how-does-tokeniser-work</w:t>
            </w:r>
          </w:p>
          <w:p>
            <w:pPr>
              <w:spacing w:after="40"/>
            </w:pPr>
            <w:r>
              <w:rPr>
                <w:b w:val="0"/>
                <w:color w:val="5E6270"/>
                <w:sz w:val="16"/>
              </w:rPr>
              <w:t>Snapshot 2026-10-25</w:t>
            </w:r>
          </w:p>
        </w:tc>
      </w:tr>
      <w:tr>
        <w:tc>
          <w:tcPr>
            <w:tcW w:type="dxa" w:w="907"/>
          </w:tcPr>
          <w:p>
            <w:pPr>
              <w:spacing w:after="40"/>
            </w:pPr>
            <w:r/>
            <w:r>
              <w:rPr>
                <w:rFonts w:ascii="JetBrains Mono" w:hAnsi="JetBrains Mono"/>
                <w:b/>
                <w:color w:val="343740"/>
                <w:sz w:val="16"/>
              </w:rPr>
              <w:t>S07</w:t>
            </w:r>
          </w:p>
        </w:tc>
        <w:tc>
          <w:tcPr>
            <w:tcW w:type="dxa" w:w="3969"/>
          </w:tcPr>
          <w:p>
            <w:pPr>
              <w:spacing w:after="40"/>
            </w:pPr>
            <w:r/>
            <w:r>
              <w:rPr>
                <w:b w:val="0"/>
                <w:color w:val="343740"/>
                <w:sz w:val="18"/>
              </w:rPr>
              <w:t>Tokens are minted on Redbelly Network and transferred to verified investor wallets.</w:t>
            </w:r>
          </w:p>
        </w:tc>
        <w:tc>
          <w:tcPr>
            <w:tcW w:type="dxa" w:w="6009"/>
          </w:tcPr>
          <w:p>
            <w:pPr>
              <w:spacing w:after="40"/>
            </w:pPr>
            <w:r/>
            <w:r>
              <w:rPr>
                <w:b w:val="0"/>
                <w:color w:val="343740"/>
                <w:sz w:val="18"/>
              </w:rPr>
              <w:t>“Tokens are minted on Redbelly Network and transferred to the verified investor wallets.”</w:t>
            </w:r>
          </w:p>
        </w:tc>
        <w:tc>
          <w:tcPr>
            <w:tcW w:type="dxa" w:w="3855"/>
          </w:tcPr>
          <w:p>
            <w:pPr>
              <w:spacing w:after="40"/>
            </w:pPr>
            <w:r/>
            <w:r>
              <w:rPr>
                <w:b w:val="0"/>
                <w:color w:val="5E6270"/>
                <w:sz w:val="16"/>
              </w:rPr>
              <w:t>https://tokeniser.com/resources/knowledge-hub/platform/how-does-tokeniser-work</w:t>
            </w:r>
          </w:p>
          <w:p>
            <w:pPr>
              <w:spacing w:after="40"/>
            </w:pPr>
            <w:r>
              <w:rPr>
                <w:b w:val="0"/>
                <w:color w:val="5E6270"/>
                <w:sz w:val="16"/>
              </w:rPr>
              <w:t>Snapshot 2026-10-25</w:t>
            </w:r>
          </w:p>
        </w:tc>
      </w:tr>
      <w:tr>
        <w:tc>
          <w:tcPr>
            <w:tcW w:type="dxa" w:w="907"/>
          </w:tcPr>
          <w:p>
            <w:pPr>
              <w:spacing w:after="40"/>
            </w:pPr>
            <w:r/>
            <w:r>
              <w:rPr>
                <w:rFonts w:ascii="JetBrains Mono" w:hAnsi="JetBrains Mono"/>
                <w:b/>
                <w:color w:val="343740"/>
                <w:sz w:val="16"/>
              </w:rPr>
              <w:t>S07</w:t>
            </w:r>
          </w:p>
        </w:tc>
        <w:tc>
          <w:tcPr>
            <w:tcW w:type="dxa" w:w="3969"/>
          </w:tcPr>
          <w:p>
            <w:pPr>
              <w:spacing w:after="40"/>
            </w:pPr>
            <w:r/>
            <w:r>
              <w:rPr>
                <w:b w:val="0"/>
                <w:color w:val="343740"/>
                <w:sz w:val="18"/>
              </w:rPr>
              <w:t>The register updates immediately on issuance.</w:t>
            </w:r>
          </w:p>
        </w:tc>
        <w:tc>
          <w:tcPr>
            <w:tcW w:type="dxa" w:w="6009"/>
          </w:tcPr>
          <w:p>
            <w:pPr>
              <w:spacing w:after="40"/>
            </w:pPr>
            <w:r/>
            <w:r>
              <w:rPr>
                <w:b w:val="0"/>
                <w:color w:val="343740"/>
                <w:sz w:val="18"/>
              </w:rPr>
              <w:t>“The on-chain register updates immediately to reflect each issuance.”</w:t>
            </w:r>
          </w:p>
        </w:tc>
        <w:tc>
          <w:tcPr>
            <w:tcW w:type="dxa" w:w="3855"/>
          </w:tcPr>
          <w:p>
            <w:pPr>
              <w:spacing w:after="40"/>
            </w:pPr>
            <w:r/>
            <w:r>
              <w:rPr>
                <w:b w:val="0"/>
                <w:color w:val="5E6270"/>
                <w:sz w:val="16"/>
              </w:rPr>
              <w:t>https://tokeniser.com/resources/knowledge-hub/platform/how-does-tokeniser-work</w:t>
            </w:r>
          </w:p>
          <w:p>
            <w:pPr>
              <w:spacing w:after="40"/>
            </w:pPr>
            <w:r>
              <w:rPr>
                <w:b w:val="0"/>
                <w:color w:val="5E6270"/>
                <w:sz w:val="16"/>
              </w:rPr>
              <w:t>Snapshot 2026-10-25</w:t>
            </w:r>
          </w:p>
        </w:tc>
      </w:tr>
      <w:tr>
        <w:tc>
          <w:tcPr>
            <w:tcW w:type="dxa" w:w="907"/>
          </w:tcPr>
          <w:p>
            <w:pPr>
              <w:spacing w:after="40"/>
            </w:pPr>
            <w:r/>
            <w:r>
              <w:rPr>
                <w:rFonts w:ascii="JetBrains Mono" w:hAnsi="JetBrains Mono"/>
                <w:b/>
                <w:color w:val="343740"/>
                <w:sz w:val="16"/>
              </w:rPr>
              <w:t>S08</w:t>
            </w:r>
          </w:p>
        </w:tc>
        <w:tc>
          <w:tcPr>
            <w:tcW w:type="dxa" w:w="3969"/>
          </w:tcPr>
          <w:p>
            <w:pPr>
              <w:spacing w:after="40"/>
            </w:pPr>
            <w:r/>
            <w:r>
              <w:rPr>
                <w:b w:val="0"/>
                <w:color w:val="343740"/>
                <w:sz w:val="18"/>
              </w:rPr>
              <w:t>Every transfer is checked against the rules before it is processed.</w:t>
            </w:r>
          </w:p>
        </w:tc>
        <w:tc>
          <w:tcPr>
            <w:tcW w:type="dxa" w:w="6009"/>
          </w:tcPr>
          <w:p>
            <w:pPr>
              <w:spacing w:after="40"/>
            </w:pPr>
            <w:r/>
            <w:r>
              <w:rPr>
                <w:b w:val="0"/>
                <w:color w:val="343740"/>
                <w:sz w:val="18"/>
              </w:rPr>
              <w:t>“Every transfer is checked against configured compliance parameters before submission.”</w:t>
            </w:r>
          </w:p>
        </w:tc>
        <w:tc>
          <w:tcPr>
            <w:tcW w:type="dxa" w:w="3855"/>
          </w:tcPr>
          <w:p>
            <w:pPr>
              <w:spacing w:after="40"/>
            </w:pPr>
            <w:r/>
            <w:r>
              <w:rPr>
                <w:b w:val="0"/>
                <w:color w:val="5E6270"/>
                <w:sz w:val="16"/>
              </w:rPr>
              <w:t>https://tokeniser.com/resources/knowledge-hub/platform/how-does-tokeniser-work</w:t>
            </w:r>
          </w:p>
          <w:p>
            <w:pPr>
              <w:spacing w:after="40"/>
            </w:pPr>
            <w:r>
              <w:rPr>
                <w:b w:val="0"/>
                <w:color w:val="5E6270"/>
                <w:sz w:val="16"/>
              </w:rPr>
              <w:t>Snapshot 2026-10-25</w:t>
            </w:r>
          </w:p>
        </w:tc>
      </w:tr>
      <w:tr>
        <w:tc>
          <w:tcPr>
            <w:tcW w:type="dxa" w:w="907"/>
          </w:tcPr>
          <w:p>
            <w:pPr>
              <w:spacing w:after="40"/>
            </w:pPr>
            <w:r/>
            <w:r>
              <w:rPr>
                <w:rFonts w:ascii="JetBrains Mono" w:hAnsi="JetBrains Mono"/>
                <w:b/>
                <w:color w:val="343740"/>
                <w:sz w:val="16"/>
              </w:rPr>
              <w:t>S08</w:t>
            </w:r>
          </w:p>
        </w:tc>
        <w:tc>
          <w:tcPr>
            <w:tcW w:type="dxa" w:w="3969"/>
          </w:tcPr>
          <w:p>
            <w:pPr>
              <w:spacing w:after="40"/>
            </w:pPr>
            <w:r/>
            <w:r>
              <w:rPr>
                <w:b w:val="0"/>
                <w:color w:val="343740"/>
                <w:sz w:val="18"/>
              </w:rPr>
              <w:t>Transfers to ineligible investors are rejected.</w:t>
            </w:r>
          </w:p>
        </w:tc>
        <w:tc>
          <w:tcPr>
            <w:tcW w:type="dxa" w:w="6009"/>
          </w:tcPr>
          <w:p>
            <w:pPr>
              <w:spacing w:after="40"/>
            </w:pPr>
            <w:r/>
            <w:r>
              <w:rPr>
                <w:b w:val="0"/>
                <w:color w:val="343740"/>
                <w:sz w:val="18"/>
              </w:rPr>
              <w:t>“Transfers to unverified wallets, ineligible investors, or in breach of restrictions are rejected.”</w:t>
            </w:r>
          </w:p>
        </w:tc>
        <w:tc>
          <w:tcPr>
            <w:tcW w:type="dxa" w:w="3855"/>
          </w:tcPr>
          <w:p>
            <w:pPr>
              <w:spacing w:after="40"/>
            </w:pPr>
            <w:r/>
            <w:r>
              <w:rPr>
                <w:b w:val="0"/>
                <w:color w:val="5E6270"/>
                <w:sz w:val="16"/>
              </w:rPr>
              <w:t>https://tokeniser.com/resources/knowledge-hub/platform/how-does-tokeniser-work</w:t>
            </w:r>
          </w:p>
          <w:p>
            <w:pPr>
              <w:spacing w:after="40"/>
            </w:pPr>
            <w:r>
              <w:rPr>
                <w:b w:val="0"/>
                <w:color w:val="5E6270"/>
                <w:sz w:val="16"/>
              </w:rPr>
              <w:t>Snapshot 2026-10-25</w:t>
            </w:r>
          </w:p>
        </w:tc>
      </w:tr>
      <w:tr>
        <w:tc>
          <w:tcPr>
            <w:tcW w:type="dxa" w:w="907"/>
          </w:tcPr>
          <w:p>
            <w:pPr>
              <w:spacing w:after="40"/>
            </w:pPr>
            <w:r/>
            <w:r>
              <w:rPr>
                <w:rFonts w:ascii="JetBrains Mono" w:hAnsi="JetBrains Mono"/>
                <w:b/>
                <w:color w:val="343740"/>
                <w:sz w:val="16"/>
              </w:rPr>
              <w:t>S09</w:t>
            </w:r>
          </w:p>
        </w:tc>
        <w:tc>
          <w:tcPr>
            <w:tcW w:type="dxa" w:w="3969"/>
          </w:tcPr>
          <w:p>
            <w:pPr>
              <w:spacing w:after="40"/>
            </w:pPr>
            <w:r/>
            <w:r>
              <w:rPr>
                <w:b w:val="0"/>
                <w:color w:val="343740"/>
                <w:sz w:val="18"/>
              </w:rPr>
              <w:t>Compliant transfers settle on Redbelly Network in seconds.</w:t>
            </w:r>
          </w:p>
        </w:tc>
        <w:tc>
          <w:tcPr>
            <w:tcW w:type="dxa" w:w="6009"/>
          </w:tcPr>
          <w:p>
            <w:pPr>
              <w:spacing w:after="40"/>
            </w:pPr>
            <w:r/>
            <w:r>
              <w:rPr>
                <w:b w:val="0"/>
                <w:color w:val="343740"/>
                <w:sz w:val="18"/>
              </w:rPr>
              <w:t>“Compliant transfers settle atomically on Redbelly Network in seconds.”</w:t>
            </w:r>
          </w:p>
        </w:tc>
        <w:tc>
          <w:tcPr>
            <w:tcW w:type="dxa" w:w="3855"/>
          </w:tcPr>
          <w:p>
            <w:pPr>
              <w:spacing w:after="40"/>
            </w:pPr>
            <w:r/>
            <w:r>
              <w:rPr>
                <w:b w:val="0"/>
                <w:color w:val="5E6270"/>
                <w:sz w:val="16"/>
              </w:rPr>
              <w:t>https://tokeniser.com/resources/knowledge-hub/platform/how-does-tokeniser-work</w:t>
            </w:r>
          </w:p>
          <w:p>
            <w:pPr>
              <w:spacing w:after="40"/>
            </w:pPr>
            <w:r>
              <w:rPr>
                <w:b w:val="0"/>
                <w:color w:val="5E6270"/>
                <w:sz w:val="16"/>
              </w:rPr>
              <w:t>Snapshot 2026-10-25</w:t>
            </w:r>
          </w:p>
        </w:tc>
      </w:tr>
      <w:tr>
        <w:tc>
          <w:tcPr>
            <w:tcW w:type="dxa" w:w="907"/>
          </w:tcPr>
          <w:p>
            <w:pPr>
              <w:spacing w:after="40"/>
            </w:pPr>
            <w:r/>
            <w:r>
              <w:rPr>
                <w:rFonts w:ascii="JetBrains Mono" w:hAnsi="JetBrains Mono"/>
                <w:b/>
                <w:color w:val="343740"/>
                <w:sz w:val="16"/>
              </w:rPr>
              <w:t>S09</w:t>
            </w:r>
          </w:p>
        </w:tc>
        <w:tc>
          <w:tcPr>
            <w:tcW w:type="dxa" w:w="3969"/>
          </w:tcPr>
          <w:p>
            <w:pPr>
              <w:spacing w:after="40"/>
            </w:pPr>
            <w:r/>
            <w:r>
              <w:rPr>
                <w:b w:val="0"/>
                <w:color w:val="343740"/>
                <w:sz w:val="18"/>
              </w:rPr>
              <w:t>With wallets the investors hold themselves (non-custodial), transfer and payment complete together.</w:t>
            </w:r>
          </w:p>
        </w:tc>
        <w:tc>
          <w:tcPr>
            <w:tcW w:type="dxa" w:w="6009"/>
          </w:tcPr>
          <w:p>
            <w:pPr>
              <w:spacing w:after="40"/>
            </w:pPr>
            <w:r/>
            <w:r>
              <w:rPr>
                <w:b w:val="0"/>
                <w:color w:val="343740"/>
                <w:sz w:val="18"/>
              </w:rPr>
              <w:t>“For non-custodial wallets, atomic settlements, transfer and payment complete simultaneously in seconds.”</w:t>
            </w:r>
          </w:p>
        </w:tc>
        <w:tc>
          <w:tcPr>
            <w:tcW w:type="dxa" w:w="3855"/>
          </w:tcPr>
          <w:p>
            <w:pPr>
              <w:spacing w:after="40"/>
            </w:pPr>
            <w:r/>
            <w:r>
              <w:rPr>
                <w:b w:val="0"/>
                <w:color w:val="5E6270"/>
                <w:sz w:val="16"/>
              </w:rPr>
              <w:t>https://tokeniser.com/resources/knowledge-hub/platform/how-does-tokeniser-work</w:t>
            </w:r>
          </w:p>
          <w:p>
            <w:pPr>
              <w:spacing w:after="40"/>
            </w:pPr>
            <w:r>
              <w:rPr>
                <w:b w:val="0"/>
                <w:color w:val="5E6270"/>
                <w:sz w:val="16"/>
              </w:rPr>
              <w:t>Snapshot 2026-10-25</w:t>
            </w:r>
          </w:p>
        </w:tc>
      </w:tr>
      <w:tr>
        <w:tc>
          <w:tcPr>
            <w:tcW w:type="dxa" w:w="907"/>
          </w:tcPr>
          <w:p>
            <w:pPr>
              <w:spacing w:after="40"/>
            </w:pPr>
            <w:r/>
            <w:r>
              <w:rPr>
                <w:rFonts w:ascii="JetBrains Mono" w:hAnsi="JetBrains Mono"/>
                <w:b/>
                <w:color w:val="343740"/>
                <w:sz w:val="16"/>
              </w:rPr>
              <w:t>S09</w:t>
            </w:r>
          </w:p>
        </w:tc>
        <w:tc>
          <w:tcPr>
            <w:tcW w:type="dxa" w:w="3969"/>
          </w:tcPr>
          <w:p>
            <w:pPr>
              <w:spacing w:after="40"/>
            </w:pPr>
            <w:r/>
            <w:r>
              <w:rPr>
                <w:b w:val="0"/>
                <w:color w:val="343740"/>
                <w:sz w:val="18"/>
              </w:rPr>
              <w:t>Once confirmed, a transaction on Redbelly is final and cannot be reversed.</w:t>
            </w:r>
          </w:p>
        </w:tc>
        <w:tc>
          <w:tcPr>
            <w:tcW w:type="dxa" w:w="6009"/>
          </w:tcPr>
          <w:p>
            <w:pPr>
              <w:spacing w:after="40"/>
            </w:pPr>
            <w:r/>
            <w:r>
              <w:rPr>
                <w:b w:val="0"/>
                <w:color w:val="343740"/>
                <w:sz w:val="18"/>
              </w:rPr>
              <w:t>“Deterministic finality ensures transactions are confirmed once and cannot be reversed, providing certainty for financial markets”</w:t>
            </w:r>
          </w:p>
        </w:tc>
        <w:tc>
          <w:tcPr>
            <w:tcW w:type="dxa" w:w="3855"/>
          </w:tcPr>
          <w:p>
            <w:pPr>
              <w:spacing w:after="40"/>
            </w:pPr>
            <w:r/>
            <w:r>
              <w:rPr>
                <w:b w:val="0"/>
                <w:color w:val="5E6270"/>
                <w:sz w:val="16"/>
              </w:rPr>
              <w:t>https://redbelly.network/asset-tokenisation</w:t>
            </w:r>
          </w:p>
          <w:p>
            <w:pPr>
              <w:spacing w:after="40"/>
            </w:pPr>
            <w:r>
              <w:rPr>
                <w:b w:val="0"/>
                <w:color w:val="5E6270"/>
                <w:sz w:val="16"/>
              </w:rPr>
              <w:t>Snapshot 2026-10-25</w:t>
            </w:r>
          </w:p>
        </w:tc>
      </w:tr>
      <w:tr>
        <w:tc>
          <w:tcPr>
            <w:tcW w:type="dxa" w:w="907"/>
          </w:tcPr>
          <w:p>
            <w:pPr>
              <w:spacing w:after="40"/>
            </w:pPr>
            <w:r/>
            <w:r>
              <w:rPr>
                <w:rFonts w:ascii="JetBrains Mono" w:hAnsi="JetBrains Mono"/>
                <w:b/>
                <w:color w:val="343740"/>
                <w:sz w:val="16"/>
              </w:rPr>
              <w:t>S10</w:t>
            </w:r>
          </w:p>
        </w:tc>
        <w:tc>
          <w:tcPr>
            <w:tcW w:type="dxa" w:w="3969"/>
          </w:tcPr>
          <w:p>
            <w:pPr>
              <w:spacing w:after="40"/>
            </w:pPr>
            <w:r/>
            <w:r>
              <w:rPr>
                <w:b w:val="0"/>
                <w:color w:val="343740"/>
                <w:sz w:val="18"/>
              </w:rPr>
              <w:t>Every check, transfer and rejection is recorded and available to administrators, auditors and regulators.</w:t>
            </w:r>
          </w:p>
        </w:tc>
        <w:tc>
          <w:tcPr>
            <w:tcW w:type="dxa" w:w="6009"/>
          </w:tcPr>
          <w:p>
            <w:pPr>
              <w:spacing w:after="40"/>
            </w:pPr>
            <w:r/>
            <w:r>
              <w:rPr>
                <w:b w:val="0"/>
                <w:color w:val="343740"/>
                <w:sz w:val="18"/>
              </w:rPr>
              <w:t>“Every compliance check, every transfer, and every rejection is recorded on-chain and in the platform's compliance log. This creates an immutable audit trail that is available to fund administrators, auditors, and regulators at any time.”</w:t>
            </w:r>
          </w:p>
        </w:tc>
        <w:tc>
          <w:tcPr>
            <w:tcW w:type="dxa" w:w="3855"/>
          </w:tcPr>
          <w:p>
            <w:pPr>
              <w:spacing w:after="40"/>
            </w:pPr>
            <w:r/>
            <w:r>
              <w:rPr>
                <w:b w:val="0"/>
                <w:color w:val="5E6270"/>
                <w:sz w:val="16"/>
              </w:rPr>
              <w:t>https://tokeniser.com/resources/knowledge-hub/australia/how-tokeniser-handles-investor-compliance</w:t>
            </w:r>
          </w:p>
          <w:p>
            <w:pPr>
              <w:spacing w:after="40"/>
            </w:pPr>
            <w:r>
              <w:rPr>
                <w:b w:val="0"/>
                <w:color w:val="5E6270"/>
                <w:sz w:val="16"/>
              </w:rPr>
              <w:t>Snapshot 2026-10-25</w:t>
            </w:r>
          </w:p>
        </w:tc>
      </w:tr>
      <w:tr>
        <w:tc>
          <w:tcPr>
            <w:tcW w:type="dxa" w:w="907"/>
          </w:tcPr>
          <w:p>
            <w:pPr>
              <w:spacing w:after="40"/>
            </w:pPr>
            <w:r/>
            <w:r>
              <w:rPr>
                <w:rFonts w:ascii="JetBrains Mono" w:hAnsi="JetBrains Mono"/>
                <w:b/>
                <w:color w:val="343740"/>
                <w:sz w:val="16"/>
              </w:rPr>
              <w:t>S11</w:t>
            </w:r>
          </w:p>
        </w:tc>
        <w:tc>
          <w:tcPr>
            <w:tcW w:type="dxa" w:w="3969"/>
          </w:tcPr>
          <w:p>
            <w:pPr>
              <w:spacing w:after="40"/>
            </w:pPr>
            <w:r/>
            <w:r>
              <w:rPr>
                <w:b w:val="0"/>
                <w:color w:val="343740"/>
                <w:sz w:val="18"/>
              </w:rPr>
              <w:t>Tokeniser issues compliant tokens representing ownership interests on Redbelly Network.</w:t>
            </w:r>
          </w:p>
        </w:tc>
        <w:tc>
          <w:tcPr>
            <w:tcW w:type="dxa" w:w="6009"/>
          </w:tcPr>
          <w:p>
            <w:pPr>
              <w:spacing w:after="40"/>
            </w:pPr>
            <w:r/>
            <w:r>
              <w:rPr>
                <w:b w:val="0"/>
                <w:color w:val="343740"/>
                <w:sz w:val="18"/>
              </w:rPr>
              <w:t>“Tokeniser issues digital tokens representing ownership interests on Redbelly Network blockchain.”</w:t>
            </w:r>
          </w:p>
        </w:tc>
        <w:tc>
          <w:tcPr>
            <w:tcW w:type="dxa" w:w="3855"/>
          </w:tcPr>
          <w:p>
            <w:pPr>
              <w:spacing w:after="40"/>
            </w:pPr>
            <w:r/>
            <w:r>
              <w:rPr>
                <w:b w:val="0"/>
                <w:color w:val="5E6270"/>
                <w:sz w:val="16"/>
              </w:rPr>
              <w:t>https://tokeniser.com/resources/knowledge-hub/platform/how-does-tokeniser-work</w:t>
            </w:r>
          </w:p>
          <w:p>
            <w:pPr>
              <w:spacing w:after="40"/>
            </w:pPr>
            <w:r>
              <w:rPr>
                <w:b w:val="0"/>
                <w:color w:val="5E6270"/>
                <w:sz w:val="16"/>
              </w:rPr>
              <w:t>Snapshot 2026-10-25</w:t>
            </w:r>
          </w:p>
        </w:tc>
      </w:tr>
      <w:tr>
        <w:tc>
          <w:tcPr>
            <w:tcW w:type="dxa" w:w="907"/>
          </w:tcPr>
          <w:p>
            <w:pPr>
              <w:spacing w:after="40"/>
            </w:pPr>
            <w:r/>
            <w:r>
              <w:rPr>
                <w:rFonts w:ascii="JetBrains Mono" w:hAnsi="JetBrains Mono"/>
                <w:b/>
                <w:color w:val="343740"/>
                <w:sz w:val="16"/>
              </w:rPr>
              <w:t>S11</w:t>
            </w:r>
          </w:p>
        </w:tc>
        <w:tc>
          <w:tcPr>
            <w:tcW w:type="dxa" w:w="3969"/>
          </w:tcPr>
          <w:p>
            <w:pPr>
              <w:spacing w:after="40"/>
            </w:pPr>
            <w:r/>
            <w:r>
              <w:rPr>
                <w:b w:val="0"/>
                <w:color w:val="343740"/>
                <w:sz w:val="18"/>
              </w:rPr>
              <w:t>Tokeniser provides compliant asset tokenisation.</w:t>
            </w:r>
          </w:p>
        </w:tc>
        <w:tc>
          <w:tcPr>
            <w:tcW w:type="dxa" w:w="6009"/>
          </w:tcPr>
          <w:p>
            <w:pPr>
              <w:spacing w:after="40"/>
            </w:pPr>
            <w:r/>
            <w:r>
              <w:rPr>
                <w:b w:val="0"/>
                <w:color w:val="343740"/>
                <w:sz w:val="18"/>
              </w:rPr>
              <w:t>“Tokeniser Pty. Ltd. is an Australian company providing compliant asset tokenisation and management solutions.”</w:t>
            </w:r>
          </w:p>
        </w:tc>
        <w:tc>
          <w:tcPr>
            <w:tcW w:type="dxa" w:w="3855"/>
          </w:tcPr>
          <w:p>
            <w:pPr>
              <w:spacing w:after="40"/>
            </w:pPr>
            <w:r/>
            <w:r>
              <w:rPr>
                <w:b w:val="0"/>
                <w:color w:val="5E6270"/>
                <w:sz w:val="16"/>
              </w:rPr>
              <w:t>https://tokeniser.com/</w:t>
            </w:r>
          </w:p>
          <w:p>
            <w:pPr>
              <w:spacing w:after="40"/>
            </w:pPr>
            <w:r>
              <w:rPr>
                <w:b w:val="0"/>
                <w:color w:val="5E6270"/>
                <w:sz w:val="16"/>
              </w:rPr>
              <w:t>Snapshot 2026-10-25</w:t>
            </w:r>
          </w:p>
        </w:tc>
      </w:tr>
      <w:tr>
        <w:tc>
          <w:tcPr>
            <w:tcW w:type="dxa" w:w="907"/>
          </w:tcPr>
          <w:p>
            <w:pPr>
              <w:spacing w:after="40"/>
            </w:pPr>
            <w:r/>
            <w:r>
              <w:rPr>
                <w:rFonts w:ascii="JetBrains Mono" w:hAnsi="JetBrains Mono"/>
                <w:b/>
                <w:color w:val="343740"/>
                <w:sz w:val="16"/>
              </w:rPr>
              <w:t>S12</w:t>
            </w:r>
          </w:p>
        </w:tc>
        <w:tc>
          <w:tcPr>
            <w:tcW w:type="dxa" w:w="3969"/>
          </w:tcPr>
          <w:p>
            <w:pPr>
              <w:spacing w:after="40"/>
            </w:pPr>
            <w:r/>
            <w:r>
              <w:rPr>
                <w:b w:val="0"/>
                <w:color w:val="343740"/>
                <w:sz w:val="18"/>
              </w:rPr>
              <w:t>Tokeniser is built on Redbelly Network.</w:t>
            </w:r>
          </w:p>
        </w:tc>
        <w:tc>
          <w:tcPr>
            <w:tcW w:type="dxa" w:w="6009"/>
          </w:tcPr>
          <w:p>
            <w:pPr>
              <w:spacing w:after="40"/>
            </w:pPr>
            <w:r/>
            <w:r>
              <w:rPr>
                <w:b w:val="0"/>
                <w:color w:val="343740"/>
                <w:sz w:val="18"/>
              </w:rPr>
              <w:t>“Built on Redbelly, Australia's public digital token infrastructure and the network chosen by Australia's central bank for its digital currency project.”</w:t>
            </w:r>
          </w:p>
        </w:tc>
        <w:tc>
          <w:tcPr>
            <w:tcW w:type="dxa" w:w="3855"/>
          </w:tcPr>
          <w:p>
            <w:pPr>
              <w:spacing w:after="40"/>
            </w:pPr>
            <w:r/>
            <w:r>
              <w:rPr>
                <w:b w:val="0"/>
                <w:color w:val="5E6270"/>
                <w:sz w:val="16"/>
              </w:rPr>
              <w:t>https://tokeniser.com/product/getting-started</w:t>
            </w:r>
          </w:p>
          <w:p>
            <w:pPr>
              <w:spacing w:after="40"/>
            </w:pPr>
            <w:r>
              <w:rPr>
                <w:b w:val="0"/>
                <w:color w:val="5E6270"/>
                <w:sz w:val="16"/>
              </w:rPr>
              <w:t>Snapshot 2026-10-25</w:t>
            </w:r>
          </w:p>
        </w:tc>
      </w:tr>
    </w:tbl>
    <w:p>
      <w:pPr>
        <w:spacing w:after="80"/>
      </w:pPr>
      <w:r>
        <w:rPr>
          <w:b w:val="0"/>
          <w:i w:val="0"/>
          <w:color w:val="343740"/>
          <w:sz w:val="20"/>
        </w:rPr>
      </w:r>
    </w:p>
    <w:p>
      <w:pPr>
        <w:spacing w:after="80"/>
      </w:pPr>
      <w:r>
        <w:rPr>
          <w:b/>
          <w:i w:val="0"/>
          <w:color w:val="343740"/>
          <w:sz w:val="32"/>
        </w:rPr>
        <w:t>3. What the video does not say</w:t>
      </w:r>
    </w:p>
    <w:p>
      <w:pPr>
        <w:spacing w:after="60"/>
      </w:pPr>
      <w:r>
        <w:rPr>
          <w:b w:val="0"/>
          <w:i w:val="0"/>
          <w:color w:val="343740"/>
          <w:sz w:val="20"/>
        </w:rPr>
        <w:t>•  No prices, returns, yields, performance or investment advice. The fund is an illustrative example and no amounts are shown.</w:t>
      </w:r>
    </w:p>
    <w:p>
      <w:pPr>
        <w:spacing w:after="60"/>
      </w:pPr>
      <w:r>
        <w:rPr>
          <w:b w:val="0"/>
          <w:i w:val="0"/>
          <w:color w:val="343740"/>
          <w:sz w:val="20"/>
        </w:rPr>
        <w:t>•  No promise of liquidity. Tokeniser's own FAQ states that tokenisation does not guarantee liquidity, so the video does not mention liquidity at all.</w:t>
      </w:r>
    </w:p>
    <w:p>
      <w:pPr>
        <w:spacing w:after="60"/>
      </w:pPr>
      <w:r>
        <w:rPr>
          <w:b w:val="0"/>
          <w:i w:val="0"/>
          <w:color w:val="343740"/>
          <w:sz w:val="20"/>
        </w:rPr>
        <w:t>•  Atomic settlement is described only for investors who hold their own (non-custodial) wallets, as the Tokeniser knowledge hub specifies.</w:t>
      </w:r>
    </w:p>
    <w:p>
      <w:pPr>
        <w:spacing w:after="60"/>
      </w:pPr>
      <w:r>
        <w:rPr>
          <w:b w:val="0"/>
          <w:i w:val="0"/>
          <w:color w:val="343740"/>
          <w:sz w:val="20"/>
        </w:rPr>
        <w:t>•  No performance figures for Redbelly Network (throughput, uptime, validators) are used, so nothing in the video can age out of date.</w:t>
      </w:r>
    </w:p>
    <w:p>
      <w:pPr>
        <w:spacing w:after="80"/>
      </w:pPr>
      <w:r>
        <w:rPr>
          <w:b w:val="0"/>
          <w:i w:val="0"/>
          <w:color w:val="343740"/>
          <w:sz w:val="20"/>
        </w:rPr>
      </w:r>
    </w:p>
    <w:p>
      <w:pPr>
        <w:spacing w:after="80"/>
      </w:pPr>
      <w:r>
        <w:rPr>
          <w:b/>
          <w:i w:val="0"/>
          <w:color w:val="343740"/>
          <w:sz w:val="32"/>
        </w:rPr>
        <w:t>4. Sources</w:t>
      </w:r>
    </w:p>
    <w:p>
      <w:pPr>
        <w:spacing w:after="120"/>
      </w:pPr>
      <w:r>
        <w:rPr>
          <w:b w:val="0"/>
          <w:i w:val="0"/>
          <w:color w:val="5E6270"/>
          <w:sz w:val="18"/>
        </w:rPr>
        <w:t>Text snapshots of every page are kept in the project files (evidence/) with their capture time and SHA-256 hash.</w:t>
      </w:r>
    </w:p>
    <w:p>
      <w:pPr>
        <w:spacing w:after="0"/>
      </w:pPr>
      <w:r>
        <w:rPr>
          <w:b/>
          <w:i w:val="0"/>
          <w:color w:val="343740"/>
          <w:sz w:val="20"/>
        </w:rPr>
        <w:t>Real-time transparency - Tokeniser Superpower</w:t>
      </w:r>
    </w:p>
    <w:p>
      <w:pPr>
        <w:spacing w:after="100"/>
      </w:pPr>
      <w:r>
        <w:rPr>
          <w:rFonts w:ascii="JetBrains Mono" w:hAnsi="JetBrains Mono"/>
          <w:b w:val="0"/>
          <w:i w:val="0"/>
          <w:color w:val="5E6270"/>
          <w:sz w:val="16"/>
        </w:rPr>
        <w:t>https://tokeniser.com/product/superpowers/real-time-transparency   captured 2026-10-25 15:00 UTC   sha256 f9a06ac753bfaaca</w:t>
      </w:r>
    </w:p>
    <w:p>
      <w:pPr>
        <w:spacing w:after="0"/>
      </w:pPr>
      <w:r>
        <w:rPr>
          <w:b/>
          <w:i w:val="0"/>
          <w:color w:val="343740"/>
          <w:sz w:val="20"/>
        </w:rPr>
        <w:t>Give your Australian fund a global edge | Tokeniser</w:t>
      </w:r>
    </w:p>
    <w:p>
      <w:pPr>
        <w:spacing w:after="100"/>
      </w:pPr>
      <w:r>
        <w:rPr>
          <w:rFonts w:ascii="JetBrains Mono" w:hAnsi="JetBrains Mono"/>
          <w:b w:val="0"/>
          <w:i w:val="0"/>
          <w:color w:val="5E6270"/>
          <w:sz w:val="16"/>
        </w:rPr>
        <w:t>https://tokeniser.com/   captured 2026-10-25 14:59 UTC   sha256 f833d6ea10abcf40</w:t>
      </w:r>
    </w:p>
    <w:p>
      <w:pPr>
        <w:spacing w:after="0"/>
      </w:pPr>
      <w:r>
        <w:rPr>
          <w:b/>
          <w:i w:val="0"/>
          <w:color w:val="343740"/>
          <w:sz w:val="20"/>
        </w:rPr>
        <w:t>Our Technology | Proven Australian infrastructure | Tokeniser</w:t>
      </w:r>
    </w:p>
    <w:p>
      <w:pPr>
        <w:spacing w:after="100"/>
      </w:pPr>
      <w:r>
        <w:rPr>
          <w:rFonts w:ascii="JetBrains Mono" w:hAnsi="JetBrains Mono"/>
          <w:b w:val="0"/>
          <w:i w:val="0"/>
          <w:color w:val="5E6270"/>
          <w:sz w:val="16"/>
        </w:rPr>
        <w:t>https://tokeniser.com/technology   captured 2026-10-25 14:59 UTC   sha256 7efedb3fa7a73d36</w:t>
      </w:r>
    </w:p>
    <w:p>
      <w:pPr>
        <w:spacing w:after="0"/>
      </w:pPr>
      <w:r>
        <w:rPr>
          <w:b/>
          <w:i w:val="0"/>
          <w:color w:val="343740"/>
          <w:sz w:val="20"/>
        </w:rPr>
        <w:t>How does Tokeniser work? | Tokeniser</w:t>
      </w:r>
    </w:p>
    <w:p>
      <w:pPr>
        <w:spacing w:after="100"/>
      </w:pPr>
      <w:r>
        <w:rPr>
          <w:rFonts w:ascii="JetBrains Mono" w:hAnsi="JetBrains Mono"/>
          <w:b w:val="0"/>
          <w:i w:val="0"/>
          <w:color w:val="5E6270"/>
          <w:sz w:val="16"/>
        </w:rPr>
        <w:t>https://tokeniser.com/resources/knowledge-hub/platform/how-does-tokeniser-work   captured 2026-10-25 15:01 UTC   sha256 c01aeaced2dc6c36</w:t>
      </w:r>
    </w:p>
    <w:p>
      <w:pPr>
        <w:spacing w:after="0"/>
      </w:pPr>
      <w:r>
        <w:rPr>
          <w:b/>
          <w:i w:val="0"/>
          <w:color w:val="343740"/>
          <w:sz w:val="20"/>
        </w:rPr>
        <w:t>How does Tokeniser handle investor compliance? | Tokeniser</w:t>
      </w:r>
    </w:p>
    <w:p>
      <w:pPr>
        <w:spacing w:after="100"/>
      </w:pPr>
      <w:r>
        <w:rPr>
          <w:rFonts w:ascii="JetBrains Mono" w:hAnsi="JetBrains Mono"/>
          <w:b w:val="0"/>
          <w:i w:val="0"/>
          <w:color w:val="5E6270"/>
          <w:sz w:val="16"/>
        </w:rPr>
        <w:t>https://tokeniser.com/resources/knowledge-hub/australia/how-tokeniser-handles-investor-compliance   captured 2026-10-25 15:01 UTC   sha256 713e6847e7ee4382</w:t>
      </w:r>
    </w:p>
    <w:p>
      <w:pPr>
        <w:spacing w:after="0"/>
      </w:pPr>
      <w:r>
        <w:rPr>
          <w:b/>
          <w:i w:val="0"/>
          <w:color w:val="343740"/>
          <w:sz w:val="20"/>
        </w:rPr>
        <w:t>Getting Started - Tokeniser Product | Tokenisation tailored for your fund</w:t>
      </w:r>
    </w:p>
    <w:p>
      <w:pPr>
        <w:spacing w:after="100"/>
      </w:pPr>
      <w:r>
        <w:rPr>
          <w:rFonts w:ascii="JetBrains Mono" w:hAnsi="JetBrains Mono"/>
          <w:b w:val="0"/>
          <w:i w:val="0"/>
          <w:color w:val="5E6270"/>
          <w:sz w:val="16"/>
        </w:rPr>
        <w:t>https://tokeniser.com/product/getting-started   captured 2026-10-25 14:59 UTC   sha256 1acf0b860073e82c</w:t>
      </w:r>
    </w:p>
    <w:p>
      <w:pPr>
        <w:spacing w:after="0"/>
      </w:pPr>
      <w:r>
        <w:rPr>
          <w:b/>
          <w:i w:val="0"/>
          <w:color w:val="343740"/>
          <w:sz w:val="20"/>
        </w:rPr>
        <w:t>Redbelly Network | Asset Tokenization</w:t>
      </w:r>
    </w:p>
    <w:p>
      <w:pPr>
        <w:spacing w:after="100"/>
      </w:pPr>
      <w:r>
        <w:rPr>
          <w:rFonts w:ascii="JetBrains Mono" w:hAnsi="JetBrains Mono"/>
          <w:b w:val="0"/>
          <w:i w:val="0"/>
          <w:color w:val="5E6270"/>
          <w:sz w:val="16"/>
        </w:rPr>
        <w:t>https://redbelly.network/asset-tokenisation   captured 2026-10-25 15:01 UTC   sha256 fe7d572b5a01aa1c</w:t>
      </w:r>
    </w:p>
    <w:sectPr w:rsidR="00FC693F" w:rsidRPr="0006063C" w:rsidSect="00034616">
      <w:pgSz w:w="16838" w:h="11906"/>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Readex Pro" w:hAnsi="Readex Pro" w:eastAsia="Readex Pr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Farmland to Token: script and fact check</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