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DAF Caiobá Trucks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REGULAMENTO DA CAMPANHA DE BÔNUS – PÓS-VENDA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Diretrizes Operacionais, Metas e Critérios de Premiação Variável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07 de julho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FINALIDADE DA CAMPANHA</w:t>
      </w:r>
    </w:p>
    <w:p>
      <w:pPr>
        <w:spacing w:before="60" w:after="120" w:line="276"/>
        <w:jc w:val="both"/>
      </w:pPr>
      <w:r>
        <w:t xml:space="preserve">O presente documento estabelece as normas, critérios e métricas para a Campanha de Bônus do Pós-Venda da DAF Caiobá Trucks, visando incentivar a produtividade, a eficiência operacional e a excelência na qualidade técnica dos serviços prestados aos clientes.</w:t>
      </w:r>
    </w:p>
    <w:p>
      <w:pPr>
        <w:pStyle w:val="Heading3"/>
        <w:spacing w:before="240" w:after="120"/>
      </w:pPr>
      <w:r>
        <w:t xml:space="preserve">2. ABRANGÊNCIA</w:t>
      </w:r>
    </w:p>
    <w:p>
      <w:pPr>
        <w:spacing w:before="60" w:after="120" w:line="276"/>
        <w:jc w:val="both"/>
      </w:pPr>
      <w:r>
        <w:t xml:space="preserve">Esta campanha aplica-se às unidades operacionais de Campo Grande, Dourados, Três Lagoas e Chapadão do Sul.</w:t>
      </w:r>
    </w:p>
    <w:p>
      <w:pPr>
        <w:pStyle w:val="Heading3"/>
        <w:spacing w:before="240" w:after="120"/>
      </w:pPr>
      <w:r>
        <w:t xml:space="preserve">3. CARGOS ELEGÍVEIS</w:t>
      </w:r>
    </w:p>
    <w:p>
      <w:pPr>
        <w:spacing w:before="60" w:after="120" w:line="276"/>
        <w:jc w:val="both"/>
      </w:pPr>
      <w:r>
        <w:rPr>
          <w:b/>
          <w:bCs/>
        </w:rPr>
        <w:t xml:space="preserve">3.1 Cargos elegíveis:</w:t>
      </w:r>
      <w:r>
        <w:t xml:space="preserve"> Consultor Técnico, Mecânico, Mecânico Box Express (exclusivo Campo Grande), Chefe de Oficina, Programação / Apontamento, Gerente de Pós-Venda (unidade) e Gerente Geral de Pós-Venda.</w:t>
      </w:r>
    </w:p>
    <w:p>
      <w:pPr>
        <w:spacing w:before="60" w:after="120" w:line="276"/>
        <w:jc w:val="both"/>
      </w:pPr>
      <w:r>
        <w:rPr>
          <w:b/>
          <w:bCs/>
        </w:rPr>
        <w:t xml:space="preserve">3.2 Exceções estruturais:</w:t>
      </w:r>
      <w:r>
        <w:t xml:space="preserve"> Chapadão do Sul não possui a função de Chefe de Oficina. Programação / Apontamento está disponível apenas em Campo Grande e Dourados. Mecânico Box Express é exclusivo da unidade de Campo Grande.</w:t>
      </w:r>
    </w:p>
    <w:p>
      <w:pPr>
        <w:pStyle w:val="Heading3"/>
        <w:spacing w:before="240" w:after="120"/>
      </w:pPr>
      <w:r>
        <w:t xml:space="preserve">4. PERÍODO, APURAÇÃO E PAGAMENTO</w:t>
      </w:r>
    </w:p>
    <w:p>
      <w:pPr>
        <w:spacing w:before="60" w:after="120" w:line="276"/>
        <w:jc w:val="both"/>
      </w:pPr>
      <w:r>
        <w:rPr>
          <w:b/>
          <w:bCs/>
        </w:rPr>
        <w:t xml:space="preserve">Mês-base:</w:t>
      </w:r>
      <w:r>
        <w:t xml:space="preserve"> julho de 2026.</w:t>
      </w:r>
    </w:p>
    <w:p>
      <w:pPr>
        <w:spacing w:before="60" w:after="120" w:line="276"/>
        <w:jc w:val="both"/>
      </w:pPr>
      <w:r>
        <w:rPr>
          <w:b/>
          <w:bCs/>
        </w:rPr>
        <w:t xml:space="preserve">Apuração Semanal:</w:t>
      </w:r>
      <w:r>
        <w:t xml:space="preserve"> O bônus-alvo de cada função é dividido pelo número de semanas do mês (5 semanas em julho de 2026). Cada semana é independente: o colaborador precisa atingir a meta da semana para receber aquela parcela. Não há direito a pagamento retroativo por semanas perdidas. A apuração semanal é definitiva para cada parcela. O resultado consolidado do mês serve apenas para validação das travas de qualidade.</w:t>
      </w:r>
    </w:p>
    <w:p>
      <w:pPr>
        <w:spacing w:before="60" w:after="120" w:line="276"/>
        <w:jc w:val="both"/>
      </w:pPr>
      <w:r>
        <w:rPr>
          <w:b/>
          <w:bCs/>
        </w:rPr>
        <w:t xml:space="preserve">Pagamento:</w:t>
      </w:r>
      <w:r>
        <w:t xml:space="preserve"> O valor total acumulado nas semanas validadas será pago integralmente no mês subsequente (agosto de 2026).</w:t>
      </w:r>
    </w:p>
    <w:p>
      <w:pPr>
        <w:pStyle w:val="Heading3"/>
        <w:spacing w:before="240" w:after="120"/>
      </w:pPr>
      <w:r>
        <w:t xml:space="preserve">5. REGRAS DE APURAÇÃO</w:t>
      </w:r>
    </w:p>
    <w:p>
      <w:pPr>
        <w:spacing w:before="60" w:after="120" w:line="276"/>
        <w:jc w:val="both"/>
      </w:pPr>
      <w:r>
        <w:t xml:space="preserve">A apuração dos resultados será baseada nos sistemas oficiais da empresa, considerando exclusivamente NF emitida e OS no padrão. Cada semana é autônoma para definição das parcelas do bônus.</w:t>
      </w:r>
    </w:p>
    <w:p>
      <w:pPr>
        <w:pStyle w:val="Heading3"/>
        <w:spacing w:before="240" w:after="120"/>
      </w:pPr>
      <w:r>
        <w:t xml:space="preserve">6. FAIXAS GERAIS DE PAGAMENTO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Atingimento da Meta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Percentual do Bônus-Alvo da Semana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 a 89%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 a 99%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75%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a 109%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110% ou mais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120% (sujeito a travas)</w:t>
            </w:r>
          </w:p>
        </w:tc>
      </w:tr>
    </w:tbl>
    <w:p>
      <w:pPr>
        <w:pStyle w:val="Heading3"/>
        <w:spacing w:before="240" w:after="120"/>
      </w:pPr>
      <w:r>
        <w:t xml:space="preserve">7. REGRA DE PAGAMENTO POR UNIDADE</w:t>
      </w:r>
    </w:p>
    <w:p>
      <w:pPr>
        <w:spacing w:before="60" w:after="120" w:line="276"/>
        <w:jc w:val="both"/>
      </w:pPr>
      <w:r>
        <w:t xml:space="preserve">A regra de elegibilidade ao pagamento aplica-se a todas as funções, incluindo Consultor Técnico, Mecânico, Mecânico Box Express, Chefe de Oficina, Programação/Apontamento e Gerente de Pós-Venda (unidade).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Faixas de Pagamento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Grande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80%, 100% e 120% (supermeta)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Dourados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e 120% (supermeta) — sem pagamento em 80%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Três Lagoas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e 120% (supermeta) — sem pagamento em 80%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Chapadão do Sul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e 120% (supermeta) — sem pagamento em 80%</w:t>
            </w:r>
          </w:p>
        </w:tc>
      </w:tr>
    </w:tbl>
    <w:p>
      <w:pPr>
        <w:pStyle w:val="Heading3"/>
        <w:spacing w:before="240" w:after="120"/>
      </w:pPr>
      <w:r>
        <w:t xml:space="preserve">8. REGRAS POR FUNÇÃO</w:t>
      </w:r>
    </w:p>
    <w:p>
      <w:r>
        <w:t xml:space="preserve">8.1 Consultor Técnico</w:t>
      </w:r>
    </w:p>
    <w:p>
      <w:pPr>
        <w:spacing w:before="60" w:after="120" w:line="276"/>
        <w:jc w:val="both"/>
      </w:pPr>
      <w:r>
        <w:t xml:space="preserve">Composição: 50% Faturamento Total, 10% Ticket Médio e 40% Margem Bruta. Margem mínima de peças: 30%. Exigências: NF emitida e OS no padrão.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Bônus-Alvo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Supermeta (120%)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Grande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Juliana e Miguel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1.500,00 por consultor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1.800,00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Dourados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Willian e Kaique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1.350,00 por consultor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1.620,00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Três Lagoas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Estefania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1.275,00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1.530,00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Chapadão do Sul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1.080,00</w:t>
            </w:r>
          </w:p>
        </w:tc>
      </w:tr>
    </w:tbl>
    <w:p>
      <w:pPr>
        <w:spacing w:before="60" w:after="120" w:line="276"/>
        <w:jc w:val="both"/>
      </w:pPr>
      <w:r>
        <w:t xml:space="preserve">Metas detalhadas: Campo Grande (Serviços 354.054,00 | Peças 1.416.216,00 | Total 1.770.270,00 | Ticket 4.500,00); Dourados (Serviços 199.438,00 | Peças 797.752,00 | Total 997.190,00 | Ticket 5.000,00); Três Lagoas (Total 464.580,00 | Ticket 4.500,00); Chapadão do Sul (Total 96.607,50).</w:t>
      </w:r>
    </w:p>
    <w:p>
      <w:r>
        <w:t xml:space="preserve">8.2 Mecânico</w:t>
      </w:r>
    </w:p>
    <w:p>
      <w:pPr>
        <w:spacing w:before="60" w:after="120" w:line="276"/>
        <w:jc w:val="both"/>
      </w:pPr>
      <w:r>
        <w:t xml:space="preserve">Composição: 100% Produtividade.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Bônus-Alvo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Supermeta (120%)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Campo Grande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1.300,00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1.560,00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Dourados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1.170,00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1.404,00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Três Lagoas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1.105,00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1.326,00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Chapadão do Sul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936,00</w:t>
            </w:r>
          </w:p>
        </w:tc>
      </w:tr>
    </w:tbl>
    <w:p>
      <w:pPr>
        <w:spacing w:before="60" w:after="120" w:line="276"/>
        <w:jc w:val="both"/>
      </w:pPr>
      <w:r>
        <w:rPr>
          <w:b/>
          <w:bCs/>
        </w:rPr>
        <w:t xml:space="preserve">Condições eliminatórias:</w:t>
      </w:r>
      <w:r>
        <w:t xml:space="preserve"> Qualquer uma das ocorrências abaixo zera o bônus do </w:t>
      </w:r>
      <w:r>
        <w:rPr>
          <w:b/>
          <w:bCs/>
        </w:rPr>
        <w:t xml:space="preserve">MÊS</w:t>
      </w:r>
      <w:r>
        <w:t xml:space="preserve"> inteiro, independentemente do resultado das semanas: 1 retorno procedente no mês; Eficiência igual ou superior a 120%; 2 atrasos injustificados no mês.</w:t>
      </w:r>
    </w:p>
    <w:p>
      <w:r>
        <w:t xml:space="preserve">8.3 Mecânico Box Express (Campo Grande)</w:t>
      </w:r>
    </w:p>
    <w:p>
      <w:pPr>
        <w:spacing w:before="60" w:after="120" w:line="276"/>
        <w:jc w:val="both"/>
      </w:pPr>
      <w:r>
        <w:t xml:space="preserve">Bônus fixo de 600,00 dividido pelas 5 semanas. Não há medição de produtividade ou eficiência. </w:t>
      </w:r>
      <w:r>
        <w:rPr>
          <w:b/>
          <w:bCs/>
        </w:rPr>
        <w:t xml:space="preserve">Condições eliminatórias:</w:t>
      </w:r>
      <w:r>
        <w:t xml:space="preserve"> 1 retorno procedente no mês ou 2 atrasos injustificados no mês zeram o bônus do mês integralmente. Não possui supermeta.</w:t>
      </w:r>
    </w:p>
    <w:p>
      <w:r>
        <w:t xml:space="preserve">8.4 Chefe de Oficina</w:t>
      </w:r>
    </w:p>
    <w:p>
      <w:pPr>
        <w:spacing w:before="60" w:after="120" w:line="276"/>
        <w:jc w:val="both"/>
      </w:pPr>
      <w:r>
        <w:t xml:space="preserve">Bônus definido por faixa fixa de atingimento da meta composta (60% Produtividade Geral e 40% Faturamento de Serviços), apurado semanalmente.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Atingimento da Meta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 do Bônus (integral)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1.200,00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1.500,00</w:t>
            </w:r>
          </w:p>
        </w:tc>
      </w:tr>
    </w:tbl>
    <w:p>
      <w:pPr>
        <w:spacing w:before="60" w:after="120" w:line="276"/>
        <w:jc w:val="both"/>
      </w:pPr>
      <w:r>
        <w:t xml:space="preserve">Metas: Campo Grande (Prod. 60% | Serv. 354.054,00); Dourados (Prod. 58% | Serv. 199.438,00); Três Lagoas (Prod. 55% | Serv. 92.916,00). O Chefe de Oficina não está sujeito à trava de retorno individual.</w:t>
      </w:r>
    </w:p>
    <w:p>
      <w:r>
        <w:t xml:space="preserve">8.5 Programação / Apontamento</w:t>
      </w:r>
    </w:p>
    <w:p>
      <w:pPr>
        <w:spacing w:before="60" w:after="120" w:line="276"/>
        <w:jc w:val="both"/>
      </w:pPr>
      <w:r>
        <w:t xml:space="preserve">Composição: 70% Conformidade de Apontamento (mínimo 95%) e 30% Suporte à Produtividade. Elegíveis: Campo Grande (800,00 / Supermeta 960,00) e Dourados (600,00 / Supermeta 720,00).</w:t>
      </w:r>
    </w:p>
    <w:p>
      <w:r>
        <w:t xml:space="preserve">8.6 Gerente de Pós-Venda (unidade)</w:t>
      </w:r>
    </w:p>
    <w:p>
      <w:pPr>
        <w:spacing w:before="60" w:after="120" w:line="276"/>
        <w:jc w:val="both"/>
      </w:pPr>
      <w:r>
        <w:t xml:space="preserve">Composição: 50% Faturamento total, 30% Produtividade geral, 20% Margem bruta consolidada. Bônus-alvo: Campo Grande, Dourados e Três Lagoas (2.000,00 / Supermeta 2.400,00); Chapadão do Sul (1.500,00 / Supermeta 1.800,00).</w:t>
      </w:r>
    </w:p>
    <w:p>
      <w:r>
        <w:t xml:space="preserve">8.7 Gerente Geral de Pós-Venda</w:t>
      </w:r>
    </w:p>
    <w:p>
      <w:pPr>
        <w:spacing w:before="60" w:after="120" w:line="276"/>
        <w:jc w:val="both"/>
      </w:pPr>
      <w:r>
        <w:t xml:space="preserve">Meta: 100% atrelada ao Faturamento Total individual de cada unidade. O bônus é calculado por unidade separadamente. O valor integral de cada faixa é dividido pelo número de semanas para apuração semanal.</w:t>
      </w:r>
    </w:p>
    <w:p>
      <w:pPr>
        <w:spacing w:before="60" w:after="120" w:line="276"/>
        <w:jc w:val="both"/>
      </w:pPr>
      <w:r>
        <w:rPr>
          <w:b/>
          <w:bCs/>
        </w:rPr>
        <w:t xml:space="preserve">Campo Grande:</w:t>
      </w:r>
      <w:r>
        <w:t xml:space="preserve"> 80% (1.500,00) | 100% (2.000,00) | 120% (2.500,00).</w:t>
      </w:r>
    </w:p>
    <w:p>
      <w:pPr>
        <w:spacing w:before="60" w:after="120" w:line="276"/>
        <w:jc w:val="both"/>
      </w:pPr>
      <w:r>
        <w:rPr>
          <w:b/>
          <w:bCs/>
        </w:rPr>
        <w:t xml:space="preserve">Dourados, Três Lagoas e Chapadão do Sul:</w:t>
      </w:r>
      <w:r>
        <w:t xml:space="preserve"> 50% (500,00) | 100% (1.000,00).</w:t>
      </w:r>
    </w:p>
    <w:p>
      <w:pPr>
        <w:pStyle w:val="Heading3"/>
        <w:spacing w:before="240" w:after="120"/>
      </w:pPr>
      <w:r>
        <w:t xml:space="preserve">9. TRAVAS DE QUALIDADE</w:t>
      </w:r>
    </w:p>
    <w:p>
      <w:pPr>
        <w:spacing w:before="60" w:after="120" w:line="276"/>
        <w:jc w:val="both"/>
      </w:pPr>
      <w:r>
        <w:rPr>
          <w:b/>
          <w:bCs/>
        </w:rPr>
        <w:t xml:space="preserve">9.1 Trava de Retorno:</w:t>
      </w:r>
      <w:r>
        <w:t xml:space="preserve"> Aplica-se exclusivamente ao Mecânico e Mecânico Box Express: 1 retorno procedente no mês zera o bônus do mês inteiro. Chefe de Oficina e Gerentes não estão sujeitos a esta trava individual.</w:t>
      </w:r>
    </w:p>
    <w:p>
      <w:pPr>
        <w:spacing w:before="60" w:after="120" w:line="276"/>
        <w:jc w:val="both"/>
      </w:pPr>
      <w:r>
        <w:rPr>
          <w:b/>
          <w:bCs/>
        </w:rPr>
        <w:t xml:space="preserve">9.2 Trava de Falha Crítica (Apontamento):</w:t>
      </w:r>
      <w:r>
        <w:t xml:space="preserve"> 1 falha na semana bloqueia supermeta; 2 falhas reduzem uma faixa; 3 ou mais falhas zeram o bônus da semana.</w:t>
      </w:r>
    </w:p>
    <w:p>
      <w:pPr>
        <w:spacing w:before="60" w:after="120" w:line="276"/>
        <w:jc w:val="both"/>
      </w:pPr>
      <w:r>
        <w:rPr>
          <w:b/>
          <w:bCs/>
        </w:rPr>
        <w:t xml:space="preserve">9.3 Trava de Índice de Retorno (Gestão):</w:t>
      </w:r>
      <w:r>
        <w:t xml:space="preserve"> Se o índice de retorno da unidade no mês for superior a 2% do faturamento total, o bônus do mês do Chefe de Oficina e Gerente de Pós-Venda é integralmente cancelado.</w:t>
      </w:r>
    </w:p>
    <w:p>
      <w:pPr>
        <w:pStyle w:val="Heading3"/>
        <w:spacing w:before="240" w:after="120"/>
      </w:pPr>
      <w:r>
        <w:t xml:space="preserve">10. GOVERNANÇA</w:t>
      </w:r>
    </w:p>
    <w:p>
      <w:pPr>
        <w:spacing w:before="60" w:after="120" w:line="276"/>
        <w:jc w:val="both"/>
      </w:pPr>
      <w:r>
        <w:t xml:space="preserve">A validação de retornos e falhas críticas é de responsabilidade da liderança de cada unidade. Qualquer tentativa de manipulação de indicadores ou conduta antiética resultará na desclassificação imediata do colaborador.</w:t>
      </w:r>
    </w:p>
    <w:p>
      <w:pPr>
        <w:pStyle w:val="Heading3"/>
        <w:spacing w:before="240" w:after="120"/>
      </w:pPr>
      <w:r>
        <w:t xml:space="preserve">11. DISPOSIÇÕES FINAIS</w:t>
      </w:r>
    </w:p>
    <w:p>
      <w:pPr>
        <w:spacing w:before="60" w:after="120" w:line="276"/>
        <w:jc w:val="both"/>
      </w:pPr>
      <w:r>
        <w:t xml:space="preserve">Este regulamento tem vigência para o mês de julho de 2026. A empresa reserva-se o direito de realizar ajustes com base no fechamento mensal oficial. Casos omissos serão deliberados pela Gerência Geral de Pós-Venda e Diretoria da DAF Caiobá Trucks.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2026-07-07T22:24:00.089Z</dcterms:created>
  <dcterms:modified xsi:type="dcterms:W3CDTF">2026-07-07T22:24:00.089Z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