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A57D" w14:textId="77777777" w:rsidR="009C2C7B" w:rsidRDefault="00000000">
      <w:pPr>
        <w:pStyle w:val="Ttulo2"/>
      </w:pPr>
      <w:r>
        <w:t>REDE DE CONCESSIONÁRIAS — DEPARTAMENTO DE PÓS-VENDA</w:t>
      </w:r>
    </w:p>
    <w:p w14:paraId="1851764B" w14:textId="77777777" w:rsidR="009C2C7B" w:rsidRDefault="00000000">
      <w:pPr>
        <w:pStyle w:val="Ttulo3"/>
      </w:pPr>
      <w:r>
        <w:t>POLÍTICA DE PREMIAÇÃO — PROGRAMA RUMO À ALTA PERFORMANCE — 4º TRIMESTRE 2026</w:t>
      </w:r>
    </w:p>
    <w:p w14:paraId="0833D279" w14:textId="77777777" w:rsidR="009C2C7B" w:rsidRDefault="00000000">
      <w:pPr>
        <w:spacing w:before="60"/>
      </w:pPr>
      <w:r>
        <w:rPr>
          <w:i/>
          <w:iCs/>
        </w:rPr>
        <w:t>Regulamento Interno de Incentivo, Metas e Premiação por Desempenho</w:t>
      </w:r>
      <w:r>
        <w:br/>
      </w:r>
      <w:r>
        <w:rPr>
          <w:b/>
          <w:bCs/>
        </w:rPr>
        <w:t>18 de setembro de 2026</w:t>
      </w:r>
    </w:p>
    <w:p w14:paraId="471E1A6A" w14:textId="77777777" w:rsidR="009C2C7B" w:rsidRDefault="009C2C7B">
      <w:pPr>
        <w:pBdr>
          <w:bottom w:val="single" w:sz="6" w:space="0" w:color="CCCCCC"/>
        </w:pBdr>
        <w:spacing w:before="200" w:after="200"/>
      </w:pPr>
    </w:p>
    <w:p w14:paraId="68E81FA9" w14:textId="77777777" w:rsidR="009C2C7B" w:rsidRDefault="00000000">
      <w:pPr>
        <w:pStyle w:val="Ttulo3"/>
      </w:pPr>
      <w:r>
        <w:t>1. INTRODUÇÃO E OBJETIVOS</w:t>
      </w:r>
    </w:p>
    <w:p w14:paraId="2C13775A" w14:textId="77777777" w:rsidR="009C2C7B" w:rsidRDefault="00000000">
      <w:pPr>
        <w:spacing w:before="60"/>
      </w:pPr>
      <w:r>
        <w:t xml:space="preserve">O presente regulamento estabelece as diretrizes, critérios e parâmetros operacionais do </w:t>
      </w:r>
      <w:r>
        <w:rPr>
          <w:b/>
          <w:bCs/>
        </w:rPr>
        <w:t>Programa Rumo à Alta Performance</w:t>
      </w:r>
      <w:r>
        <w:t xml:space="preserve"> referente ao </w:t>
      </w:r>
      <w:r>
        <w:rPr>
          <w:b/>
          <w:bCs/>
        </w:rPr>
        <w:t>4º Trimestre de 2026</w:t>
      </w:r>
      <w:r>
        <w:t xml:space="preserve"> (outubro, novembro e dezembro de 2026). Este programa configura a continuidade da sistemática de incentivo e reconhecimento por desempenho já consolidada na rede de concessionárias, ajustada tecnicamente para uma periodicidade trimestral com rotinas de acompanhamento e apuração semanal e mensal.</w:t>
      </w:r>
    </w:p>
    <w:p w14:paraId="01D69330" w14:textId="77777777" w:rsidR="009C2C7B" w:rsidRDefault="00000000">
      <w:pPr>
        <w:spacing w:before="60"/>
      </w:pPr>
      <w:r>
        <w:t>O programa fundamenta-se nos seguintes objetivos corporativos e estratégicos:</w:t>
      </w:r>
    </w:p>
    <w:p w14:paraId="1FD94399" w14:textId="77777777" w:rsidR="009C2C7B" w:rsidRDefault="00000000">
      <w:pPr>
        <w:pStyle w:val="PargrafodaLista"/>
        <w:numPr>
          <w:ilvl w:val="0"/>
          <w:numId w:val="2"/>
        </w:numPr>
        <w:spacing w:before="40" w:after="40"/>
      </w:pPr>
      <w:r>
        <w:t>Fomentar a maior retenção e atração de talentos de alta performance no quadro funcional;</w:t>
      </w:r>
    </w:p>
    <w:p w14:paraId="6D031009" w14:textId="77777777" w:rsidR="009C2C7B" w:rsidRDefault="00000000">
      <w:pPr>
        <w:pStyle w:val="PargrafodaLista"/>
        <w:numPr>
          <w:ilvl w:val="0"/>
          <w:numId w:val="2"/>
        </w:numPr>
        <w:spacing w:before="40" w:after="40"/>
      </w:pPr>
      <w:r>
        <w:t>Promover a elevação contínua da produtividade operacional e da eficiência técnica das equipes;</w:t>
      </w:r>
    </w:p>
    <w:p w14:paraId="298B16BE" w14:textId="77777777" w:rsidR="009C2C7B" w:rsidRDefault="00000000">
      <w:pPr>
        <w:pStyle w:val="PargrafodaLista"/>
        <w:numPr>
          <w:ilvl w:val="0"/>
          <w:numId w:val="2"/>
        </w:numPr>
        <w:spacing w:before="40" w:after="40"/>
      </w:pPr>
      <w:r>
        <w:t>Assegurar elevados índices de motivação, engajamento e integração interdepartamental;</w:t>
      </w:r>
    </w:p>
    <w:p w14:paraId="57F43909" w14:textId="77777777" w:rsidR="009C2C7B" w:rsidRDefault="00000000">
      <w:pPr>
        <w:pStyle w:val="PargrafodaLista"/>
        <w:numPr>
          <w:ilvl w:val="0"/>
          <w:numId w:val="2"/>
        </w:numPr>
        <w:spacing w:before="40" w:after="40"/>
      </w:pPr>
      <w:r>
        <w:t>Reduzir ativamente as taxas de rotatividade de pessoal (</w:t>
      </w:r>
      <w:r>
        <w:rPr>
          <w:i/>
          <w:iCs/>
        </w:rPr>
        <w:t>turnover</w:t>
      </w:r>
      <w:r>
        <w:t>) e de absenteísmo;</w:t>
      </w:r>
    </w:p>
    <w:p w14:paraId="4F3CE915" w14:textId="77777777" w:rsidR="009C2C7B" w:rsidRDefault="00000000">
      <w:pPr>
        <w:pStyle w:val="PargrafodaLista"/>
        <w:numPr>
          <w:ilvl w:val="0"/>
          <w:numId w:val="2"/>
        </w:numPr>
        <w:spacing w:before="40" w:after="40"/>
      </w:pPr>
      <w:r>
        <w:t>Fortalecer o comprometimento irrestrito dos colaboradores com as metas orçamentárias e financeiras da organização;</w:t>
      </w:r>
    </w:p>
    <w:p w14:paraId="6EC6AA29" w14:textId="77777777" w:rsidR="009C2C7B" w:rsidRDefault="00000000">
      <w:pPr>
        <w:pStyle w:val="PargrafodaLista"/>
        <w:numPr>
          <w:ilvl w:val="0"/>
          <w:numId w:val="2"/>
        </w:numPr>
        <w:spacing w:before="40" w:after="40"/>
      </w:pPr>
      <w:r>
        <w:t>Aprimorar a qualidade técnica dos serviços prestados, a conformidade de processos e o nível de satisfação dos clientes;</w:t>
      </w:r>
    </w:p>
    <w:p w14:paraId="567AD770" w14:textId="77777777" w:rsidR="009C2C7B" w:rsidRDefault="00000000">
      <w:pPr>
        <w:pStyle w:val="PargrafodaLista"/>
        <w:numPr>
          <w:ilvl w:val="0"/>
          <w:numId w:val="2"/>
        </w:numPr>
        <w:spacing w:before="40" w:after="40"/>
      </w:pPr>
      <w:r>
        <w:t>Estimular o desenvolvimento contínuo e a superação das metas de desempenho individual de cada colaborador.</w:t>
      </w:r>
    </w:p>
    <w:p w14:paraId="41A7B6EF" w14:textId="77777777" w:rsidR="009C2C7B" w:rsidRDefault="009C2C7B">
      <w:pPr>
        <w:pBdr>
          <w:bottom w:val="single" w:sz="6" w:space="0" w:color="CCCCCC"/>
        </w:pBdr>
        <w:spacing w:before="200" w:after="200"/>
      </w:pPr>
    </w:p>
    <w:p w14:paraId="5A21C118" w14:textId="77777777" w:rsidR="009C2C7B" w:rsidRDefault="00000000">
      <w:pPr>
        <w:pStyle w:val="Ttulo3"/>
      </w:pPr>
      <w:r>
        <w:t>2. DISPOSIÇÕES GERAIS</w:t>
      </w:r>
    </w:p>
    <w:p w14:paraId="5BF9A07D" w14:textId="77777777" w:rsidR="009C2C7B" w:rsidRDefault="00000000">
      <w:pPr>
        <w:spacing w:before="60"/>
      </w:pPr>
      <w:r>
        <w:t xml:space="preserve">O </w:t>
      </w:r>
      <w:r>
        <w:rPr>
          <w:b/>
          <w:bCs/>
        </w:rPr>
        <w:t>Programa Rumo à Alta Performance</w:t>
      </w:r>
      <w:r>
        <w:t xml:space="preserve"> vigorará por prazo determinado de </w:t>
      </w:r>
      <w:r>
        <w:rPr>
          <w:b/>
          <w:bCs/>
        </w:rPr>
        <w:t>3 (três) meses</w:t>
      </w:r>
      <w:r>
        <w:t xml:space="preserve">, compreendendo os meses de outubro, novembro e dezembro de 2026. A concessão e o efetivo pagamento de quaisquer valores a título de premiação ficam expressamente condicionados ao atingimento cumulativo das </w:t>
      </w:r>
      <w:r>
        <w:rPr>
          <w:b/>
          <w:bCs/>
        </w:rPr>
        <w:t>Metas Corporativas Financeiras e Estratégicas Globais</w:t>
      </w:r>
      <w:r>
        <w:t xml:space="preserve"> da rede e das unidades operacionais, em conjunto com as </w:t>
      </w:r>
      <w:r>
        <w:rPr>
          <w:b/>
          <w:bCs/>
        </w:rPr>
        <w:t>Metas de Desempenho Individual</w:t>
      </w:r>
      <w:r>
        <w:t xml:space="preserve"> estabelecidas para cada função elegível.</w:t>
      </w:r>
    </w:p>
    <w:p w14:paraId="128ED566" w14:textId="77777777" w:rsidR="009C2C7B" w:rsidRDefault="00000000">
      <w:pPr>
        <w:spacing w:before="60"/>
      </w:pPr>
      <w:r>
        <w:t>O monitoramento das métricas operacionais será realizado mediante rotinas sistemáticas de apuração semanal e consolidação mensal de resultados operacionais, ocorrendo a validação financeira e a definição do montante final a pagar exclusivamente no fechamento consolidado do trimestre civil.</w:t>
      </w:r>
    </w:p>
    <w:p w14:paraId="0C9D5272" w14:textId="77777777" w:rsidR="009C2C7B" w:rsidRDefault="009C2C7B">
      <w:pPr>
        <w:pBdr>
          <w:bottom w:val="single" w:sz="6" w:space="0" w:color="CCCCCC"/>
        </w:pBdr>
        <w:spacing w:before="200" w:after="200"/>
      </w:pPr>
    </w:p>
    <w:p w14:paraId="0A708F39" w14:textId="77777777" w:rsidR="009C2C7B" w:rsidRDefault="00000000">
      <w:pPr>
        <w:pStyle w:val="Ttulo3"/>
      </w:pPr>
      <w:r>
        <w:t>3. CLÁUSULA 1ª — DA MECÂNICA DE APURAÇÃO E FECHAMENTO</w:t>
      </w:r>
    </w:p>
    <w:p w14:paraId="1B332CD7" w14:textId="77777777" w:rsidR="009C2C7B" w:rsidRDefault="00000000">
      <w:pPr>
        <w:spacing w:before="60"/>
      </w:pPr>
      <w:r>
        <w:t xml:space="preserve">A rotina de controle operacional manterá a sistemática de acompanhamento contínuo por meio de apurações semanais de desempenho e fechamentos mensais de indicadores de produtividade e faturamento. A cada competência mensal encerrada (outubro, novembro e dezembro de 2026), a apuração registrará o </w:t>
      </w:r>
      <w:r>
        <w:rPr>
          <w:b/>
          <w:bCs/>
        </w:rPr>
        <w:t>bônus do mês (X)</w:t>
      </w:r>
      <w:r>
        <w:t xml:space="preserve"> </w:t>
      </w:r>
      <w:r>
        <w:lastRenderedPageBreak/>
        <w:t xml:space="preserve">gerado, correspondente ao </w:t>
      </w:r>
      <w:proofErr w:type="spellStart"/>
      <w:r>
        <w:t>valor-alvo</w:t>
      </w:r>
      <w:proofErr w:type="spellEnd"/>
      <w:r>
        <w:t xml:space="preserve"> financeiro nominal integral parametrizado para a respectiva função e unidade operacional (exemplo: R$ 1.500,00 para a função de Consultor Técnico, respeitada a parametrização específica de cada filial).</w:t>
      </w:r>
    </w:p>
    <w:p w14:paraId="154BF140" w14:textId="77777777" w:rsidR="009C2C7B" w:rsidRDefault="00000000">
      <w:pPr>
        <w:spacing w:before="60"/>
      </w:pPr>
      <w:r>
        <w:rPr>
          <w:b/>
          <w:bCs/>
        </w:rPr>
        <w:t>Parágrafo Único:</w:t>
      </w:r>
      <w:r>
        <w:t xml:space="preserve"> O registro do bônus mensal (X) possui natureza estritamente escritural e indicativa de potencialidade de ganho. Nenhum valor será desembolsado ou adiantado mensalmente ao colaborador. A apuração mensal assegura transparência no acompanhamento do desempenho, contudo, a efetiva liberação financeira e o montante final de pagamento serão definidos e liquidados exclusivamente por ocasião do </w:t>
      </w:r>
      <w:r>
        <w:rPr>
          <w:b/>
          <w:bCs/>
        </w:rPr>
        <w:t>fechamento consolidado do trimestre</w:t>
      </w:r>
      <w:r>
        <w:t>.</w:t>
      </w:r>
    </w:p>
    <w:p w14:paraId="1D72E01F" w14:textId="77777777" w:rsidR="009C2C7B" w:rsidRDefault="009C2C7B">
      <w:pPr>
        <w:pBdr>
          <w:bottom w:val="single" w:sz="6" w:space="0" w:color="CCCCCC"/>
        </w:pBdr>
        <w:spacing w:before="200" w:after="200"/>
      </w:pPr>
    </w:p>
    <w:p w14:paraId="5B0CBDC2" w14:textId="77777777" w:rsidR="009C2C7B" w:rsidRDefault="00000000">
      <w:pPr>
        <w:pStyle w:val="Ttulo3"/>
      </w:pPr>
      <w:r>
        <w:t>4. CLÁUSULA 2ª — DO FECHAMENTO TRIMESTRAL E RÉGUA DE PAGAMENTO</w:t>
      </w:r>
    </w:p>
    <w:p w14:paraId="12D893AC" w14:textId="77777777" w:rsidR="009C2C7B" w:rsidRDefault="00000000">
      <w:pPr>
        <w:spacing w:before="60"/>
      </w:pPr>
      <w:r>
        <w:t xml:space="preserve">O fechamento do trimestre consistirá na consolidação matemática dos resultados de desempenho apurados nos meses de outubro, novembro e dezembro de 2026. O </w:t>
      </w:r>
      <w:r>
        <w:rPr>
          <w:b/>
          <w:bCs/>
        </w:rPr>
        <w:t>percentual de atingimento consolidado do trimestre</w:t>
      </w:r>
      <w:r>
        <w:t xml:space="preserve"> determinará o índice proporcional a ser aplicado sobre o somatório do bônus gerado em cada mês (X), em estrita observância à régua progressiva de premiação estabelecida na tabela abaixo: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9C2C7B" w14:paraId="00074A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A5D8F2" w14:textId="77777777" w:rsidR="009C2C7B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Faixa de Atingimento Trimestral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A807CE1" w14:textId="77777777" w:rsidR="009C2C7B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Percentual Aplicado sobre o Bônus Mensal (X)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E4389B8" w14:textId="77777777" w:rsidR="009C2C7B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Enquadramento Operacional</w:t>
            </w:r>
          </w:p>
        </w:tc>
      </w:tr>
      <w:tr w:rsidR="009C2C7B" w14:paraId="2BC1BD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2C9ED21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Abaixo de 80,00%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79AC9A2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8360745" w14:textId="77777777" w:rsidR="009C2C7B" w:rsidRDefault="00000000">
            <w:pPr>
              <w:spacing w:before="60" w:after="60"/>
            </w:pPr>
            <w:r>
              <w:rPr>
                <w:sz w:val="20"/>
                <w:szCs w:val="20"/>
              </w:rPr>
              <w:t>Não elegível ao pagamento (meta não atingida)</w:t>
            </w:r>
          </w:p>
        </w:tc>
      </w:tr>
      <w:tr w:rsidR="009C2C7B" w14:paraId="084AB9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28EE23D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De 80,00% a 90,00%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E8A0DBB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50%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13DBB65" w14:textId="77777777" w:rsidR="009C2C7B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Atingimento parcial inicial</w:t>
            </w:r>
          </w:p>
        </w:tc>
      </w:tr>
      <w:tr w:rsidR="009C2C7B" w14:paraId="5B5562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5CBA7B1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De 90,01% a 99,99%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0ED0F09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75%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166AF07" w14:textId="77777777" w:rsidR="009C2C7B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Atingimento intermediário</w:t>
            </w:r>
          </w:p>
        </w:tc>
      </w:tr>
      <w:tr w:rsidR="009C2C7B" w14:paraId="1E06B0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5AEDDD8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De 100,00% a 105,00%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081ADBD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F318AF" w14:textId="77777777" w:rsidR="009C2C7B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Atingimento pleno da meta trimestral</w:t>
            </w:r>
          </w:p>
        </w:tc>
      </w:tr>
      <w:tr w:rsidR="009C2C7B" w14:paraId="7EA500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19D4263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Acima de 105,00%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9088B03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120%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7C9AAAA" w14:textId="77777777" w:rsidR="009C2C7B" w:rsidRDefault="00000000">
            <w:pPr>
              <w:spacing w:before="60" w:after="60"/>
            </w:pPr>
            <w:r>
              <w:rPr>
                <w:sz w:val="20"/>
                <w:szCs w:val="20"/>
              </w:rPr>
              <w:t>Superação de meta (</w:t>
            </w:r>
            <w:proofErr w:type="spellStart"/>
            <w:r>
              <w:rPr>
                <w:sz w:val="20"/>
                <w:szCs w:val="20"/>
              </w:rPr>
              <w:t>Supermeta</w:t>
            </w:r>
            <w:proofErr w:type="spellEnd"/>
            <w:r>
              <w:rPr>
                <w:sz w:val="20"/>
                <w:szCs w:val="20"/>
              </w:rPr>
              <w:t xml:space="preserve"> Trimestral)</w:t>
            </w:r>
          </w:p>
        </w:tc>
      </w:tr>
    </w:tbl>
    <w:p w14:paraId="1AFFF570" w14:textId="77777777" w:rsidR="009C2C7B" w:rsidRDefault="00000000">
      <w:pPr>
        <w:spacing w:before="60"/>
      </w:pPr>
      <w:r>
        <w:rPr>
          <w:b/>
          <w:bCs/>
        </w:rPr>
        <w:t>Nota Explicativa:</w:t>
      </w:r>
      <w:r>
        <w:t xml:space="preserve"> O critério determinante para cálculo e liberação da premiação é única e exclusivamente o percentual consolidado do trimestre, não subsistindo qualquer penalidade ou corte sobre os bônus mensais isolados caso o resultado do trimestre alcance o patamar exigido. Por conseguinte, caso o colaborador tenha registrado 80% de atingimento no mês de outubro, porém a unidade consolide 100% de atingimento no trimestre, o participante fará jus a 100% do bônus gerado na competência de outubro, e assim sucessivamente para as demais competências do trimestre.</w:t>
      </w:r>
    </w:p>
    <w:p w14:paraId="68778B8C" w14:textId="77777777" w:rsidR="009C2C7B" w:rsidRDefault="009C2C7B">
      <w:pPr>
        <w:pBdr>
          <w:bottom w:val="single" w:sz="6" w:space="0" w:color="CCCCCC"/>
        </w:pBdr>
        <w:spacing w:before="200" w:after="200"/>
      </w:pPr>
    </w:p>
    <w:p w14:paraId="4D316D19" w14:textId="77777777" w:rsidR="009C2C7B" w:rsidRDefault="00000000">
      <w:pPr>
        <w:pStyle w:val="Ttulo3"/>
      </w:pPr>
      <w:r>
        <w:t>5. CLÁUSULA 3ª — DO EXEMPLO PRÁTICO DE CÁLCULO</w:t>
      </w:r>
    </w:p>
    <w:p w14:paraId="7C333FDB" w14:textId="77777777" w:rsidR="009C2C7B" w:rsidRDefault="00000000">
      <w:pPr>
        <w:spacing w:before="60"/>
      </w:pPr>
      <w:r>
        <w:t xml:space="preserve">Para fins de perfeita compreensão e transparência da sistemática de remuneração variável, adota-se como parâmetro referencial a função de Consultor Técnico com </w:t>
      </w:r>
      <w:proofErr w:type="spellStart"/>
      <w:r>
        <w:t>valor-alvo</w:t>
      </w:r>
      <w:proofErr w:type="spellEnd"/>
      <w:r>
        <w:t xml:space="preserve"> mensal (X) fixado em R$ 1.500,00, totalizando uma base escritural trimestral de R$ 4.500,00 (R$ 1.500,00 em outubro, R$ 1.500,00 em novembro e R$ 1.500,00 em dezembro):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  <w:gridCol w:w="2160"/>
      </w:tblGrid>
      <w:tr w:rsidR="009C2C7B" w14:paraId="5212450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525A45A" w14:textId="77777777" w:rsidR="009C2C7B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Cenário Simulado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01EEAD6" w14:textId="77777777" w:rsidR="009C2C7B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Atingimento Trimestral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D23DAEC" w14:textId="77777777" w:rsidR="009C2C7B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Faixa de Enquadramento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3927F01" w14:textId="77777777" w:rsidR="009C2C7B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Fórmula de Cálculo Financeiro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61F1916" w14:textId="77777777" w:rsidR="009C2C7B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Valor Final a Pagar</w:t>
            </w:r>
          </w:p>
        </w:tc>
      </w:tr>
      <w:tr w:rsidR="009C2C7B" w14:paraId="2F16EC0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EEBD77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Cenário 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EE7403E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85,00%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8986556" w14:textId="77777777" w:rsidR="009C2C7B" w:rsidRDefault="00000000">
            <w:pPr>
              <w:spacing w:before="60" w:after="60"/>
            </w:pPr>
            <w:r>
              <w:rPr>
                <w:sz w:val="20"/>
                <w:szCs w:val="20"/>
              </w:rPr>
              <w:t>80,00% a 90,00% (50%)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97473C7" w14:textId="77777777" w:rsidR="009C2C7B" w:rsidRDefault="00000000">
            <w:pPr>
              <w:spacing w:before="60" w:after="60"/>
            </w:pPr>
            <w:r>
              <w:rPr>
                <w:sz w:val="20"/>
                <w:szCs w:val="20"/>
              </w:rPr>
              <w:t>3 parcelas de (R$ 1.500,00 × 50%) = R$ 750,00 × 3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38A6379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R$ 2.250,00</w:t>
            </w:r>
          </w:p>
        </w:tc>
      </w:tr>
      <w:tr w:rsidR="009C2C7B" w14:paraId="5906F04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6A996C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Cenário B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8C90E3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95,00%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9F2756" w14:textId="77777777" w:rsidR="009C2C7B" w:rsidRDefault="00000000">
            <w:pPr>
              <w:spacing w:before="60" w:after="60"/>
            </w:pPr>
            <w:r>
              <w:rPr>
                <w:sz w:val="20"/>
                <w:szCs w:val="20"/>
              </w:rPr>
              <w:t>90,01% a 99,99% (75%)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8B4E409" w14:textId="77777777" w:rsidR="009C2C7B" w:rsidRDefault="00000000">
            <w:pPr>
              <w:spacing w:before="60" w:after="60"/>
            </w:pPr>
            <w:r>
              <w:rPr>
                <w:sz w:val="20"/>
                <w:szCs w:val="20"/>
              </w:rPr>
              <w:t>3 parcelas de (R$ 1.500,00 × 75%) = R$ 1.125,00 × 3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E9D0649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R$ 3.375,00</w:t>
            </w:r>
          </w:p>
        </w:tc>
      </w:tr>
      <w:tr w:rsidR="009C2C7B" w14:paraId="63E9B2A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A3C410F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Cenário C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498CCEA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102,00%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4FA1F93" w14:textId="77777777" w:rsidR="009C2C7B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100,00% a 105,00% (100%)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A9A19E7" w14:textId="77777777" w:rsidR="009C2C7B" w:rsidRDefault="00000000">
            <w:pPr>
              <w:spacing w:before="60" w:after="60"/>
            </w:pPr>
            <w:r>
              <w:rPr>
                <w:sz w:val="20"/>
                <w:szCs w:val="20"/>
              </w:rPr>
              <w:t>3 parcelas de (R$ 1.500,00 × 100%) = R$ 1.500,00 × 3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4E0820A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R$ 4.500,00</w:t>
            </w:r>
          </w:p>
        </w:tc>
      </w:tr>
      <w:tr w:rsidR="009C2C7B" w14:paraId="0970424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77724E8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Cenário 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0CF9E43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110,00%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7F76334" w14:textId="77777777" w:rsidR="009C2C7B" w:rsidRDefault="00000000">
            <w:pPr>
              <w:spacing w:before="60" w:after="60"/>
            </w:pPr>
            <w:r>
              <w:rPr>
                <w:sz w:val="20"/>
                <w:szCs w:val="20"/>
              </w:rPr>
              <w:t>Acima de 105,00% (120%)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8A5AD2F" w14:textId="77777777" w:rsidR="009C2C7B" w:rsidRDefault="00000000">
            <w:pPr>
              <w:spacing w:before="60" w:after="60"/>
            </w:pPr>
            <w:r>
              <w:rPr>
                <w:sz w:val="20"/>
                <w:szCs w:val="20"/>
              </w:rPr>
              <w:t>3 parcelas de (R$ 1.500,00 × 120%) = R$ 1.800,00 × 3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6F1E87A" w14:textId="77777777" w:rsidR="009C2C7B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R$ 5.400,00</w:t>
            </w:r>
          </w:p>
        </w:tc>
      </w:tr>
    </w:tbl>
    <w:p w14:paraId="32AC3D5E" w14:textId="77777777" w:rsidR="009C2C7B" w:rsidRDefault="009C2C7B">
      <w:pPr>
        <w:pBdr>
          <w:bottom w:val="single" w:sz="6" w:space="0" w:color="CCCCCC"/>
        </w:pBdr>
        <w:spacing w:before="200" w:after="200"/>
      </w:pPr>
    </w:p>
    <w:p w14:paraId="14BB1E3C" w14:textId="77777777" w:rsidR="009C2C7B" w:rsidRDefault="00000000">
      <w:pPr>
        <w:pStyle w:val="Ttulo3"/>
      </w:pPr>
      <w:r>
        <w:t>6. CLÁUSULA 4ª — DAS METAS</w:t>
      </w:r>
    </w:p>
    <w:p w14:paraId="6983AA87" w14:textId="77777777" w:rsidR="009C2C7B" w:rsidRDefault="00000000">
      <w:pPr>
        <w:spacing w:before="60"/>
      </w:pPr>
      <w:r>
        <w:t xml:space="preserve">A apuração do direito à premiação fica vinculada ao atingimento das metas de desempenho estabelecidas para cada função e unidade operacional, conforme a parametrização vigente da rede para o </w:t>
      </w:r>
      <w:r>
        <w:rPr>
          <w:b/>
          <w:bCs/>
        </w:rPr>
        <w:t>4º trimestre de 2026</w:t>
      </w:r>
      <w:r>
        <w:t>. As metas coletivas de faturamento de peças e serviços e as metas individuais por função seguem os valores e indicadores já acordados e em operação na rede, sem alteração.</w:t>
      </w:r>
    </w:p>
    <w:p w14:paraId="7B31E8DD" w14:textId="77777777" w:rsidR="009C2C7B" w:rsidRDefault="009C2C7B">
      <w:pPr>
        <w:pBdr>
          <w:bottom w:val="single" w:sz="6" w:space="0" w:color="CCCCCC"/>
        </w:pBdr>
        <w:spacing w:before="200" w:after="200"/>
      </w:pPr>
    </w:p>
    <w:p w14:paraId="44BF4EBC" w14:textId="77777777" w:rsidR="009C2C7B" w:rsidRDefault="00000000">
      <w:pPr>
        <w:pStyle w:val="Ttulo3"/>
      </w:pPr>
      <w:r>
        <w:t>7. CLÁUSULA 5ª — DAS TRAVAS DE QUALIDADE (CONDIÇÕES DE PAGAMENTO)</w:t>
      </w:r>
    </w:p>
    <w:p w14:paraId="7A3C643A" w14:textId="77777777" w:rsidR="009C2C7B" w:rsidRDefault="00000000">
      <w:pPr>
        <w:spacing w:before="60"/>
      </w:pPr>
      <w:r>
        <w:t>A validação do direito ao recebimento da premiação está estritamente subordinada ao cumprimento cumulativo dos seguintes requisitos de qualidade, disciplina e conformidade técnica (</w:t>
      </w:r>
      <w:proofErr w:type="spellStart"/>
      <w:r>
        <w:rPr>
          <w:i/>
          <w:iCs/>
        </w:rPr>
        <w:t>gates</w:t>
      </w:r>
      <w:proofErr w:type="spellEnd"/>
      <w:r>
        <w:t xml:space="preserve"> de pagamento):</w:t>
      </w:r>
    </w:p>
    <w:p w14:paraId="79DDEE6B" w14:textId="77777777" w:rsidR="009C2C7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Índice de Retorno Técnico:</w:t>
      </w:r>
      <w:r>
        <w:t xml:space="preserve"> manter o índice de retrabalho ou retorno de veículos na unidade em patamar igual ou inferior a </w:t>
      </w:r>
      <w:r>
        <w:rPr>
          <w:b/>
          <w:bCs/>
        </w:rPr>
        <w:t>2,0% (dois por cento)</w:t>
      </w:r>
      <w:r>
        <w:t>. A constatação de retorno de serviço com procedência imputada a erro de diagnóstico, montagem ou consultoria cancelará automaticamente a elegibilidade ao bônus do colaborador responsável no período apurado;</w:t>
      </w:r>
    </w:p>
    <w:p w14:paraId="521067B2" w14:textId="77777777" w:rsidR="009C2C7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Margem Mínima de Peças:</w:t>
      </w:r>
      <w:r>
        <w:t xml:space="preserve"> manutenção de margem bruta consolidada igual ou superior a </w:t>
      </w:r>
      <w:r>
        <w:rPr>
          <w:b/>
          <w:bCs/>
        </w:rPr>
        <w:t>30,0% (trinta por cento)</w:t>
      </w:r>
      <w:r>
        <w:t xml:space="preserve"> na carteira direta de peças do consultor/unidade;</w:t>
      </w:r>
    </w:p>
    <w:p w14:paraId="5A66F5FF" w14:textId="77777777" w:rsidR="009C2C7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Conduta Disciplinar:</w:t>
      </w:r>
      <w:r>
        <w:t xml:space="preserve"> ausência de qualquer penalidade disciplinar formal (advertência verbal documentada, advertência escrita ou suspensão) durante o trimestre civil;</w:t>
      </w:r>
    </w:p>
    <w:p w14:paraId="3AF82BC7" w14:textId="074874D0" w:rsidR="009C2C7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Assiduidade e Pontualidade:</w:t>
      </w:r>
      <w:r>
        <w:t xml:space="preserve"> o colaborador não poderá exceder o limite máximo de </w:t>
      </w:r>
      <w:r>
        <w:rPr>
          <w:b/>
          <w:bCs/>
        </w:rPr>
        <w:t>1 (uma) falta</w:t>
      </w:r>
      <w:r>
        <w:t xml:space="preserve"> (injustificada) e de </w:t>
      </w:r>
      <w:r>
        <w:rPr>
          <w:b/>
          <w:bCs/>
        </w:rPr>
        <w:t>3 (três) registros de atraso</w:t>
      </w:r>
      <w:r>
        <w:t xml:space="preserve"> ao longo do trimestre de vigência;</w:t>
      </w:r>
    </w:p>
    <w:p w14:paraId="5DB43999" w14:textId="77777777" w:rsidR="009C2C7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Satisfação do Cliente:</w:t>
      </w:r>
      <w:r>
        <w:t xml:space="preserve"> manutenção da nota de avaliação da pesquisa de atendimento ao cliente em patamar estritamente superior à meta mínima estabelecida para a respectiva filial.</w:t>
      </w:r>
    </w:p>
    <w:p w14:paraId="66128749" w14:textId="77777777" w:rsidR="009C2C7B" w:rsidRDefault="00000000">
      <w:pPr>
        <w:spacing w:before="60"/>
      </w:pPr>
      <w:r>
        <w:rPr>
          <w:b/>
          <w:bCs/>
        </w:rPr>
        <w:t>Atenção:</w:t>
      </w:r>
      <w:r>
        <w:t xml:space="preserve"> O não atendimento a qualquer um dos requisitos disciplinares, técnicos ou de qualidade elencados nesta Cláusula 5ª operará como cláusula de barreira, ensejando a perda imediata do direito à premiação trimestral calculada, independentemente do percentual de atingimento financeiro obtido.</w:t>
      </w:r>
    </w:p>
    <w:p w14:paraId="6FDCDA27" w14:textId="77777777" w:rsidR="009C2C7B" w:rsidRDefault="009C2C7B">
      <w:pPr>
        <w:pBdr>
          <w:bottom w:val="single" w:sz="6" w:space="0" w:color="CCCCCC"/>
        </w:pBdr>
        <w:spacing w:before="200" w:after="200"/>
      </w:pPr>
    </w:p>
    <w:p w14:paraId="06A9F3D2" w14:textId="77777777" w:rsidR="009C2C7B" w:rsidRDefault="00000000">
      <w:pPr>
        <w:pStyle w:val="Ttulo3"/>
      </w:pPr>
      <w:r>
        <w:t>8. CLÁUSULA 6ª — DA VIGÊNCIA</w:t>
      </w:r>
    </w:p>
    <w:p w14:paraId="40FB7743" w14:textId="77777777" w:rsidR="009C2C7B" w:rsidRDefault="00000000">
      <w:pPr>
        <w:spacing w:before="60"/>
      </w:pPr>
      <w:r>
        <w:t xml:space="preserve">O presente regulamento tem vigência </w:t>
      </w:r>
      <w:proofErr w:type="gramStart"/>
      <w:r>
        <w:t>adstrita</w:t>
      </w:r>
      <w:proofErr w:type="gramEnd"/>
      <w:r>
        <w:t xml:space="preserve"> ao período compreendido entre </w:t>
      </w:r>
      <w:r>
        <w:rPr>
          <w:b/>
          <w:bCs/>
        </w:rPr>
        <w:t>01 de outubro de 2026 e 31 de dezembro de 2026</w:t>
      </w:r>
      <w:r>
        <w:t>. O término do prazo de vigência extingue integralmente todos os efeitos jurídicos e operacionais deste instrumento, inexistindo qualquer perspectiva de renovação automática, extensão tácita ou direito adquirido para períodos subsequentes.</w:t>
      </w:r>
    </w:p>
    <w:p w14:paraId="0A1B131E" w14:textId="77777777" w:rsidR="009C2C7B" w:rsidRDefault="009C2C7B">
      <w:pPr>
        <w:pBdr>
          <w:bottom w:val="single" w:sz="6" w:space="0" w:color="CCCCCC"/>
        </w:pBdr>
        <w:spacing w:before="200" w:after="200"/>
      </w:pPr>
    </w:p>
    <w:p w14:paraId="4BB92E34" w14:textId="77777777" w:rsidR="009C2C7B" w:rsidRDefault="00000000">
      <w:pPr>
        <w:pStyle w:val="Ttulo3"/>
      </w:pPr>
      <w:r>
        <w:t>9. CLÁUSULA 7ª — DO PAGAMENTO</w:t>
      </w:r>
    </w:p>
    <w:p w14:paraId="1A2E6599" w14:textId="77777777" w:rsidR="009C2C7B" w:rsidRDefault="00000000">
      <w:pPr>
        <w:spacing w:before="60"/>
      </w:pPr>
      <w:r>
        <w:t xml:space="preserve">O pagamento dos valores devidos a título de premiação trimestral será efetuado em </w:t>
      </w:r>
      <w:r>
        <w:rPr>
          <w:b/>
          <w:bCs/>
        </w:rPr>
        <w:t>parcela única no dia 05 de janeiro de 2027</w:t>
      </w:r>
      <w:r>
        <w:t>, após a devida conferência e consolidação dos resultados contábeis e operacionais do 4º trimestre de 2026.</w:t>
      </w:r>
    </w:p>
    <w:p w14:paraId="00FC56DB" w14:textId="77777777" w:rsidR="009C2C7B" w:rsidRDefault="00000000">
      <w:pPr>
        <w:spacing w:before="60"/>
      </w:pPr>
      <w:r>
        <w:rPr>
          <w:b/>
          <w:bCs/>
        </w:rPr>
        <w:t>Parágrafo Único:</w:t>
      </w:r>
      <w:r>
        <w:t xml:space="preserve"> É expressamente vedado o pagamento de quaisquer adiantamentos, repasses parciais ou distribuição pecuniária antecipada antes da validação final do fechamento trimestral, respeitando-se integralmente a legislação vigente e os normativos internos da companhia.</w:t>
      </w:r>
    </w:p>
    <w:p w14:paraId="6B9CD2D8" w14:textId="77777777" w:rsidR="009C2C7B" w:rsidRDefault="009C2C7B">
      <w:pPr>
        <w:pBdr>
          <w:bottom w:val="single" w:sz="6" w:space="0" w:color="CCCCCC"/>
        </w:pBdr>
        <w:spacing w:before="200" w:after="200"/>
      </w:pPr>
    </w:p>
    <w:p w14:paraId="7A5186A7" w14:textId="77777777" w:rsidR="009C2C7B" w:rsidRDefault="00000000">
      <w:pPr>
        <w:pStyle w:val="Ttulo3"/>
      </w:pPr>
      <w:r>
        <w:t>10. CLÁUSULA 8ª — DOS VALORES E NATUREZA DA PREMIAÇÃO</w:t>
      </w:r>
    </w:p>
    <w:p w14:paraId="24A7A67C" w14:textId="77777777" w:rsidR="009C2C7B" w:rsidRDefault="00000000">
      <w:pPr>
        <w:spacing w:before="60"/>
      </w:pPr>
      <w:r>
        <w:t>Os valores pagos a título de premiação possuem caráter de incentivo por desempenho, não se incorporando à remuneração e não se aplicando o princípio da habitualidade. A forma de pagamento e o tratamento aplicável a cada participante (</w:t>
      </w:r>
      <w:r>
        <w:rPr>
          <w:b/>
          <w:bCs/>
        </w:rPr>
        <w:t>CLT</w:t>
      </w:r>
      <w:r>
        <w:t xml:space="preserve"> ou </w:t>
      </w:r>
      <w:r>
        <w:rPr>
          <w:b/>
          <w:bCs/>
        </w:rPr>
        <w:t>PJ</w:t>
      </w:r>
      <w:r>
        <w:t>) seguirão a política interna e os instrumentos contratuais vigentes.</w:t>
      </w:r>
    </w:p>
    <w:p w14:paraId="4EAAB997" w14:textId="77777777" w:rsidR="009C2C7B" w:rsidRDefault="009C2C7B">
      <w:pPr>
        <w:pBdr>
          <w:bottom w:val="single" w:sz="6" w:space="0" w:color="CCCCCC"/>
        </w:pBdr>
        <w:spacing w:before="200" w:after="200"/>
      </w:pPr>
    </w:p>
    <w:p w14:paraId="069EA7D5" w14:textId="77777777" w:rsidR="009C2C7B" w:rsidRDefault="00000000">
      <w:pPr>
        <w:pStyle w:val="Ttulo3"/>
      </w:pPr>
      <w:r>
        <w:t>11. CLÁUSULA 9ª — DA VALIDAÇÃO E GOVERNANÇA</w:t>
      </w:r>
    </w:p>
    <w:p w14:paraId="0F993EEB" w14:textId="77777777" w:rsidR="009C2C7B" w:rsidRDefault="00000000">
      <w:pPr>
        <w:spacing w:before="60"/>
      </w:pPr>
      <w:r>
        <w:t xml:space="preserve">A validação final dos resultados apurados, a deliberação sobre eventuais casos omissos e a autorização para o repasse financeiro competem privativamente ao comitê conjunto formado pela </w:t>
      </w:r>
      <w:r>
        <w:rPr>
          <w:b/>
          <w:bCs/>
        </w:rPr>
        <w:t>Gerência de Gestão de Pessoas (RH)</w:t>
      </w:r>
      <w:r>
        <w:t xml:space="preserve">, pela </w:t>
      </w:r>
      <w:r>
        <w:rPr>
          <w:b/>
          <w:bCs/>
        </w:rPr>
        <w:t>Gerência Geral de Pós-Venda</w:t>
      </w:r>
      <w:r>
        <w:t xml:space="preserve"> e pela </w:t>
      </w:r>
      <w:r>
        <w:rPr>
          <w:b/>
          <w:bCs/>
        </w:rPr>
        <w:t>Diretoria Executiva</w:t>
      </w:r>
      <w:r>
        <w:t xml:space="preserve"> do grupo econômico.</w:t>
      </w:r>
    </w:p>
    <w:p w14:paraId="050F7B1E" w14:textId="77777777" w:rsidR="009C2C7B" w:rsidRDefault="009C2C7B">
      <w:pPr>
        <w:pBdr>
          <w:bottom w:val="single" w:sz="6" w:space="0" w:color="CCCCCC"/>
        </w:pBdr>
        <w:spacing w:before="200" w:after="200"/>
      </w:pPr>
    </w:p>
    <w:p w14:paraId="3DF2D4C9" w14:textId="77777777" w:rsidR="009C2C7B" w:rsidRDefault="00000000">
      <w:pPr>
        <w:spacing w:before="60"/>
      </w:pPr>
      <w:r>
        <w:rPr>
          <w:b/>
          <w:bCs/>
        </w:rPr>
        <w:t>Campo Grande - MS, 18 de setembro de 2026.</w:t>
      </w:r>
    </w:p>
    <w:p w14:paraId="27DA0746" w14:textId="77777777" w:rsidR="009C2C7B" w:rsidRDefault="009C2C7B">
      <w:pPr>
        <w:pBdr>
          <w:bottom w:val="single" w:sz="6" w:space="0" w:color="CCCCCC"/>
        </w:pBdr>
        <w:spacing w:before="200" w:after="200"/>
      </w:pPr>
    </w:p>
    <w:p w14:paraId="7255E39D" w14:textId="77777777" w:rsidR="009C2C7B" w:rsidRDefault="00000000">
      <w:pPr>
        <w:spacing w:before="60"/>
      </w:pPr>
      <w:r>
        <w:rPr>
          <w:b/>
          <w:bCs/>
        </w:rPr>
        <w:t>GERÊNCIA GERAL DE PÓS-VENDA</w:t>
      </w:r>
    </w:p>
    <w:p w14:paraId="640A0069" w14:textId="77777777" w:rsidR="009C2C7B" w:rsidRDefault="009C2C7B">
      <w:pPr>
        <w:pBdr>
          <w:bottom w:val="single" w:sz="6" w:space="0" w:color="CCCCCC"/>
        </w:pBdr>
        <w:spacing w:before="200" w:after="200"/>
      </w:pPr>
    </w:p>
    <w:p w14:paraId="6EBE9814" w14:textId="77777777" w:rsidR="009C2C7B" w:rsidRDefault="00000000">
      <w:pPr>
        <w:spacing w:before="60"/>
      </w:pPr>
      <w:r>
        <w:rPr>
          <w:b/>
          <w:bCs/>
        </w:rPr>
        <w:t>GERÊNCIA EXECUTIVA / GESTÃO DE PESSOAS</w:t>
      </w:r>
    </w:p>
    <w:p w14:paraId="20DD329A" w14:textId="77777777" w:rsidR="009C2C7B" w:rsidRDefault="009C2C7B">
      <w:pPr>
        <w:pBdr>
          <w:bottom w:val="single" w:sz="6" w:space="0" w:color="CCCCCC"/>
        </w:pBdr>
        <w:spacing w:before="200" w:after="200"/>
      </w:pPr>
    </w:p>
    <w:p w14:paraId="60EAF0D2" w14:textId="77777777" w:rsidR="009C2C7B" w:rsidRDefault="00000000">
      <w:pPr>
        <w:spacing w:before="60"/>
      </w:pPr>
      <w:r>
        <w:rPr>
          <w:b/>
          <w:bCs/>
        </w:rPr>
        <w:t>DIRETORIA EXECUTIVA</w:t>
      </w:r>
    </w:p>
    <w:sectPr w:rsidR="009C2C7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02B6"/>
    <w:multiLevelType w:val="hybridMultilevel"/>
    <w:tmpl w:val="4D6C9CC6"/>
    <w:lvl w:ilvl="0" w:tplc="D95A1480">
      <w:start w:val="1"/>
      <w:numFmt w:val="decimal"/>
      <w:lvlText w:val="%1."/>
      <w:lvlJc w:val="left"/>
      <w:pPr>
        <w:ind w:left="720" w:hanging="360"/>
      </w:pPr>
    </w:lvl>
    <w:lvl w:ilvl="1" w:tplc="E24611D0">
      <w:numFmt w:val="decimal"/>
      <w:lvlText w:val=""/>
      <w:lvlJc w:val="left"/>
    </w:lvl>
    <w:lvl w:ilvl="2" w:tplc="DDA0ED40">
      <w:numFmt w:val="decimal"/>
      <w:lvlText w:val=""/>
      <w:lvlJc w:val="left"/>
    </w:lvl>
    <w:lvl w:ilvl="3" w:tplc="4F4EEF6E">
      <w:numFmt w:val="decimal"/>
      <w:lvlText w:val=""/>
      <w:lvlJc w:val="left"/>
    </w:lvl>
    <w:lvl w:ilvl="4" w:tplc="DDDCF098">
      <w:numFmt w:val="decimal"/>
      <w:lvlText w:val=""/>
      <w:lvlJc w:val="left"/>
    </w:lvl>
    <w:lvl w:ilvl="5" w:tplc="BA88ADB6">
      <w:numFmt w:val="decimal"/>
      <w:lvlText w:val=""/>
      <w:lvlJc w:val="left"/>
    </w:lvl>
    <w:lvl w:ilvl="6" w:tplc="B6EE7AFE">
      <w:numFmt w:val="decimal"/>
      <w:lvlText w:val=""/>
      <w:lvlJc w:val="left"/>
    </w:lvl>
    <w:lvl w:ilvl="7" w:tplc="DE96BE9C">
      <w:numFmt w:val="decimal"/>
      <w:lvlText w:val=""/>
      <w:lvlJc w:val="left"/>
    </w:lvl>
    <w:lvl w:ilvl="8" w:tplc="19AA0A0E">
      <w:numFmt w:val="decimal"/>
      <w:lvlText w:val=""/>
      <w:lvlJc w:val="left"/>
    </w:lvl>
  </w:abstractNum>
  <w:abstractNum w:abstractNumId="1" w15:restartNumberingAfterBreak="0">
    <w:nsid w:val="2B8243E6"/>
    <w:multiLevelType w:val="hybridMultilevel"/>
    <w:tmpl w:val="174E9268"/>
    <w:lvl w:ilvl="0" w:tplc="4A32DBC0">
      <w:start w:val="1"/>
      <w:numFmt w:val="bullet"/>
      <w:lvlText w:val="●"/>
      <w:lvlJc w:val="left"/>
      <w:pPr>
        <w:ind w:left="720" w:hanging="360"/>
      </w:pPr>
    </w:lvl>
    <w:lvl w:ilvl="1" w:tplc="0BD8C058">
      <w:start w:val="1"/>
      <w:numFmt w:val="bullet"/>
      <w:lvlText w:val="○"/>
      <w:lvlJc w:val="left"/>
      <w:pPr>
        <w:ind w:left="1440" w:hanging="360"/>
      </w:pPr>
    </w:lvl>
    <w:lvl w:ilvl="2" w:tplc="A844E23E">
      <w:start w:val="1"/>
      <w:numFmt w:val="bullet"/>
      <w:lvlText w:val="■"/>
      <w:lvlJc w:val="left"/>
      <w:pPr>
        <w:ind w:left="2160" w:hanging="360"/>
      </w:pPr>
    </w:lvl>
    <w:lvl w:ilvl="3" w:tplc="084208F8">
      <w:start w:val="1"/>
      <w:numFmt w:val="bullet"/>
      <w:lvlText w:val="●"/>
      <w:lvlJc w:val="left"/>
      <w:pPr>
        <w:ind w:left="2880" w:hanging="360"/>
      </w:pPr>
    </w:lvl>
    <w:lvl w:ilvl="4" w:tplc="69FE93A0">
      <w:start w:val="1"/>
      <w:numFmt w:val="bullet"/>
      <w:lvlText w:val="○"/>
      <w:lvlJc w:val="left"/>
      <w:pPr>
        <w:ind w:left="3600" w:hanging="360"/>
      </w:pPr>
    </w:lvl>
    <w:lvl w:ilvl="5" w:tplc="CB224FFC">
      <w:start w:val="1"/>
      <w:numFmt w:val="bullet"/>
      <w:lvlText w:val="■"/>
      <w:lvlJc w:val="left"/>
      <w:pPr>
        <w:ind w:left="4320" w:hanging="360"/>
      </w:pPr>
    </w:lvl>
    <w:lvl w:ilvl="6" w:tplc="F7B0DEDA">
      <w:start w:val="1"/>
      <w:numFmt w:val="bullet"/>
      <w:lvlText w:val="●"/>
      <w:lvlJc w:val="left"/>
      <w:pPr>
        <w:ind w:left="5040" w:hanging="360"/>
      </w:pPr>
    </w:lvl>
    <w:lvl w:ilvl="7" w:tplc="EFD42D9A">
      <w:start w:val="1"/>
      <w:numFmt w:val="bullet"/>
      <w:lvlText w:val="●"/>
      <w:lvlJc w:val="left"/>
      <w:pPr>
        <w:ind w:left="5760" w:hanging="360"/>
      </w:pPr>
    </w:lvl>
    <w:lvl w:ilvl="8" w:tplc="C19038E0">
      <w:start w:val="1"/>
      <w:numFmt w:val="bullet"/>
      <w:lvlText w:val="●"/>
      <w:lvlJc w:val="left"/>
      <w:pPr>
        <w:ind w:left="6480" w:hanging="360"/>
      </w:pPr>
    </w:lvl>
  </w:abstractNum>
  <w:num w:numId="1" w16cid:durableId="135995716">
    <w:abstractNumId w:val="1"/>
    <w:lvlOverride w:ilvl="0">
      <w:startOverride w:val="1"/>
    </w:lvlOverride>
  </w:num>
  <w:num w:numId="2" w16cid:durableId="1573546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C7B"/>
    <w:rsid w:val="003000D3"/>
    <w:rsid w:val="00473FF6"/>
    <w:rsid w:val="009C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25A8F"/>
  <w15:docId w15:val="{D7A1003D-645B-4083-B513-BB08DFFA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1476</Words>
  <Characters>7973</Characters>
  <Application>Microsoft Office Word</Application>
  <DocSecurity>0</DocSecurity>
  <Lines>66</Lines>
  <Paragraphs>18</Paragraphs>
  <ScaleCrop>false</ScaleCrop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Grupo Caioba</cp:lastModifiedBy>
  <cp:revision>2</cp:revision>
  <dcterms:created xsi:type="dcterms:W3CDTF">2026-09-18T21:17:00Z</dcterms:created>
  <dcterms:modified xsi:type="dcterms:W3CDTF">2026-09-18T20:20:00Z</dcterms:modified>
</cp:coreProperties>
</file>