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7EB82" w14:textId="77777777" w:rsidR="00423156" w:rsidRDefault="00000000">
      <w:pPr>
        <w:spacing w:after="60"/>
      </w:pPr>
      <w:r>
        <w:rPr>
          <w:b/>
          <w:bCs/>
          <w:color w:val="14284B"/>
          <w:sz w:val="44"/>
          <w:szCs w:val="44"/>
        </w:rPr>
        <w:t>Confusion Matrix Analysis by Prediction Target</w:t>
      </w:r>
    </w:p>
    <w:p w14:paraId="66A2A7C6" w14:textId="77777777" w:rsidR="00423156" w:rsidRDefault="00000000">
      <w:pPr>
        <w:pBdr>
          <w:bottom w:val="single" w:sz="18" w:space="4" w:color="C9A227"/>
        </w:pBdr>
        <w:spacing w:after="200"/>
      </w:pPr>
      <w:r>
        <w:rPr>
          <w:color w:val="55607A"/>
        </w:rPr>
        <w:t>Where the models get respondents right and wrong  |  13 October 2026</w:t>
      </w:r>
    </w:p>
    <w:p w14:paraId="090B5710" w14:textId="77777777" w:rsidR="00423156" w:rsidRDefault="00000000">
      <w:pPr>
        <w:pStyle w:val="Heading1"/>
        <w:pBdr>
          <w:bottom w:val="single" w:sz="6" w:space="2" w:color="C9A227"/>
        </w:pBdr>
      </w:pPr>
      <w:r>
        <w:t>1. Purpose</w:t>
      </w:r>
    </w:p>
    <w:p w14:paraId="1317A528" w14:textId="77777777" w:rsidR="00423156" w:rsidRDefault="00000000">
      <w:pPr>
        <w:spacing w:after="140" w:line="276" w:lineRule="auto"/>
      </w:pPr>
      <w:r>
        <w:t>This report reads four confusion matrices to show not just how often the predictions are right, but which classes are predicted well and which are confused with one another. Each matrix covers 40 respondents, with true labels in rows and predicted labels in columns.</w:t>
      </w:r>
    </w:p>
    <w:p w14:paraId="0D27A6AF" w14:textId="77777777" w:rsidR="00423156" w:rsidRDefault="00000000">
      <w:pPr>
        <w:spacing w:after="140" w:line="276" w:lineRule="auto"/>
      </w:pPr>
      <w:r>
        <w:rPr>
          <w:b/>
          <w:bCs/>
        </w:rPr>
        <w:t xml:space="preserve">Note: </w:t>
      </w:r>
      <w:r>
        <w:t>the counts were read from the figure, and the figure does not say which model produced them. Accuracy, recall, precision and F1 below are calculated from those counts. The baseline is the share of the largest true class on the same 40 respondents.</w:t>
      </w:r>
    </w:p>
    <w:p w14:paraId="45322F10" w14:textId="77777777" w:rsidR="00423156" w:rsidRDefault="00000000">
      <w:pPr>
        <w:pStyle w:val="Heading1"/>
        <w:pBdr>
          <w:bottom w:val="single" w:sz="6" w:space="2" w:color="C9A227"/>
        </w:pBdr>
      </w:pPr>
      <w:r>
        <w:t>2. The matrices</w:t>
      </w:r>
    </w:p>
    <w:p w14:paraId="31444816" w14:textId="77777777" w:rsidR="00423156" w:rsidRDefault="00000000">
      <w:pPr>
        <w:spacing w:after="60"/>
        <w:jc w:val="center"/>
      </w:pPr>
      <w:r>
        <w:rPr>
          <w:noProof/>
        </w:rPr>
        <w:drawing>
          <wp:inline distT="0" distB="0" distL="0" distR="0" wp14:anchorId="1B165CB5" wp14:editId="43EF5303">
            <wp:extent cx="5334000" cy="4781550"/>
            <wp:effectExtent l="0" t="0" r="0" b="0"/>
            <wp:docPr id="1" name="cm" descr="Four confusion matrices: Avenue (4 classes), Avenue grouped (3 classes), Monitoring and Horizon" title="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781550"/>
                    </a:xfrm>
                    <a:prstGeom prst="rect">
                      <a:avLst/>
                    </a:prstGeom>
                  </pic:spPr>
                </pic:pic>
              </a:graphicData>
            </a:graphic>
          </wp:inline>
        </w:drawing>
      </w:r>
    </w:p>
    <w:p w14:paraId="238E5494" w14:textId="77777777" w:rsidR="00423156" w:rsidRDefault="00000000">
      <w:pPr>
        <w:spacing w:after="160"/>
        <w:jc w:val="center"/>
      </w:pPr>
      <w:r>
        <w:rPr>
          <w:i/>
          <w:iCs/>
          <w:color w:val="6B7280"/>
          <w:sz w:val="18"/>
          <w:szCs w:val="18"/>
        </w:rPr>
        <w:t>Figure 1: Confusion matrices for the four prediction targets.</w:t>
      </w:r>
    </w:p>
    <w:p w14:paraId="264F6A6A" w14:textId="77777777" w:rsidR="00423156" w:rsidRDefault="00000000">
      <w:pPr>
        <w:pStyle w:val="Heading1"/>
        <w:pBdr>
          <w:bottom w:val="single" w:sz="6" w:space="2" w:color="C9A227"/>
        </w:pBdr>
      </w:pPr>
      <w:r>
        <w:t>3. Summary of results</w:t>
      </w:r>
    </w:p>
    <w:p w14:paraId="4FB22445" w14:textId="77777777" w:rsidR="00423156" w:rsidRDefault="00000000">
      <w:pPr>
        <w:spacing w:after="140" w:line="276" w:lineRule="auto"/>
      </w:pPr>
      <w:r>
        <w:t>Horizon is the only target with a substantial gain over the baseline. Grouping the avenue classes lifts accuracy by 10 points, while Monitoring and the four-class Avenue target improve only slightly.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2"/>
        <w:gridCol w:w="1150"/>
        <w:gridCol w:w="1350"/>
        <w:gridCol w:w="1350"/>
        <w:gridCol w:w="1350"/>
        <w:gridCol w:w="1400"/>
      </w:tblGrid>
      <w:tr w:rsidR="00423156" w14:paraId="4239D766" w14:textId="77777777">
        <w:tblPrEx>
          <w:tblCellMar>
            <w:top w:w="0" w:type="dxa"/>
            <w:bottom w:w="0" w:type="dxa"/>
          </w:tblCellMar>
        </w:tblPrEx>
        <w:trPr>
          <w:tblHeader/>
        </w:trPr>
        <w:tc>
          <w:tcPr>
            <w:tcW w:w="2812"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00265B03" w14:textId="77777777" w:rsidR="00423156" w:rsidRDefault="00000000">
            <w:r>
              <w:rPr>
                <w:b/>
                <w:bCs/>
                <w:color w:val="FFFFFF"/>
                <w:sz w:val="19"/>
                <w:szCs w:val="19"/>
              </w:rPr>
              <w:lastRenderedPageBreak/>
              <w:t>Target</w:t>
            </w:r>
          </w:p>
        </w:tc>
        <w:tc>
          <w:tcPr>
            <w:tcW w:w="11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5A7E43CD" w14:textId="77777777" w:rsidR="00423156" w:rsidRDefault="00000000">
            <w:pPr>
              <w:jc w:val="center"/>
            </w:pPr>
            <w:r>
              <w:rPr>
                <w:b/>
                <w:bCs/>
                <w:color w:val="FFFFFF"/>
                <w:sz w:val="19"/>
                <w:szCs w:val="19"/>
              </w:rPr>
              <w:t>Test size</w:t>
            </w:r>
          </w:p>
        </w:tc>
        <w:tc>
          <w:tcPr>
            <w:tcW w:w="13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38FBF4C7" w14:textId="77777777" w:rsidR="00423156" w:rsidRDefault="00000000">
            <w:pPr>
              <w:jc w:val="center"/>
            </w:pPr>
            <w:r>
              <w:rPr>
                <w:b/>
                <w:bCs/>
                <w:color w:val="FFFFFF"/>
                <w:sz w:val="19"/>
                <w:szCs w:val="19"/>
              </w:rPr>
              <w:t>Accuracy</w:t>
            </w:r>
          </w:p>
        </w:tc>
        <w:tc>
          <w:tcPr>
            <w:tcW w:w="13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34EA4E56" w14:textId="77777777" w:rsidR="00423156" w:rsidRDefault="00000000">
            <w:pPr>
              <w:jc w:val="center"/>
            </w:pPr>
            <w:r>
              <w:rPr>
                <w:b/>
                <w:bCs/>
                <w:color w:val="FFFFFF"/>
                <w:sz w:val="19"/>
                <w:szCs w:val="19"/>
              </w:rPr>
              <w:t>Majority baseline</w:t>
            </w:r>
          </w:p>
        </w:tc>
        <w:tc>
          <w:tcPr>
            <w:tcW w:w="13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1BCBFD21" w14:textId="77777777" w:rsidR="00423156" w:rsidRDefault="00000000">
            <w:pPr>
              <w:jc w:val="center"/>
            </w:pPr>
            <w:r>
              <w:rPr>
                <w:b/>
                <w:bCs/>
                <w:color w:val="FFFFFF"/>
                <w:sz w:val="19"/>
                <w:szCs w:val="19"/>
              </w:rPr>
              <w:t>Gain vs baseline</w:t>
            </w:r>
          </w:p>
        </w:tc>
        <w:tc>
          <w:tcPr>
            <w:tcW w:w="140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7BBAA431" w14:textId="77777777" w:rsidR="00423156" w:rsidRDefault="00000000">
            <w:pPr>
              <w:jc w:val="center"/>
            </w:pPr>
            <w:r>
              <w:rPr>
                <w:b/>
                <w:bCs/>
                <w:color w:val="FFFFFF"/>
                <w:sz w:val="19"/>
                <w:szCs w:val="19"/>
              </w:rPr>
              <w:t>Macro F1</w:t>
            </w:r>
          </w:p>
        </w:tc>
      </w:tr>
      <w:tr w:rsidR="00423156" w14:paraId="3030F682"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4009379A" w14:textId="77777777" w:rsidR="00423156" w:rsidRDefault="00000000">
            <w:r>
              <w:rPr>
                <w:sz w:val="19"/>
                <w:szCs w:val="19"/>
              </w:rPr>
              <w:t>Horizon: 3+ years vs shorter</w:t>
            </w:r>
          </w:p>
        </w:tc>
        <w:tc>
          <w:tcPr>
            <w:tcW w:w="11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3CA6D6BA" w14:textId="77777777" w:rsidR="00423156" w:rsidRDefault="00000000">
            <w:pPr>
              <w:jc w:val="center"/>
            </w:pPr>
            <w:r>
              <w:rPr>
                <w:sz w:val="19"/>
                <w:szCs w:val="19"/>
              </w:rPr>
              <w:t>40</w:t>
            </w:r>
          </w:p>
        </w:tc>
        <w:tc>
          <w:tcPr>
            <w:tcW w:w="13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678877DB" w14:textId="77777777" w:rsidR="00423156" w:rsidRDefault="00000000">
            <w:pPr>
              <w:jc w:val="center"/>
            </w:pPr>
            <w:r>
              <w:rPr>
                <w:sz w:val="19"/>
                <w:szCs w:val="19"/>
              </w:rPr>
              <w:t>67.5%</w:t>
            </w:r>
          </w:p>
        </w:tc>
        <w:tc>
          <w:tcPr>
            <w:tcW w:w="13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796B080A" w14:textId="77777777" w:rsidR="00423156" w:rsidRDefault="00000000">
            <w:pPr>
              <w:jc w:val="center"/>
            </w:pPr>
            <w:r>
              <w:rPr>
                <w:sz w:val="19"/>
                <w:szCs w:val="19"/>
              </w:rPr>
              <w:t>50.0%</w:t>
            </w:r>
          </w:p>
        </w:tc>
        <w:tc>
          <w:tcPr>
            <w:tcW w:w="1350" w:type="dxa"/>
            <w:tcBorders>
              <w:top w:val="single" w:sz="4" w:space="0" w:color="BFC4CF"/>
              <w:left w:val="single" w:sz="4" w:space="0" w:color="BFC4CF"/>
              <w:bottom w:val="single" w:sz="4" w:space="0" w:color="BFC4CF"/>
              <w:right w:val="single" w:sz="4" w:space="0" w:color="BFC4CF"/>
            </w:tcBorders>
            <w:shd w:val="clear" w:color="auto" w:fill="F6EBC3"/>
            <w:tcMar>
              <w:top w:w="70" w:type="dxa"/>
              <w:left w:w="100" w:type="dxa"/>
              <w:bottom w:w="70" w:type="dxa"/>
              <w:right w:w="100" w:type="dxa"/>
            </w:tcMar>
          </w:tcPr>
          <w:p w14:paraId="1A204EA9" w14:textId="77777777" w:rsidR="00423156" w:rsidRDefault="00000000">
            <w:pPr>
              <w:jc w:val="center"/>
            </w:pPr>
            <w:r>
              <w:rPr>
                <w:b/>
                <w:bCs/>
                <w:sz w:val="19"/>
                <w:szCs w:val="19"/>
              </w:rPr>
              <w:t>+17.5 pts</w:t>
            </w:r>
          </w:p>
        </w:tc>
        <w:tc>
          <w:tcPr>
            <w:tcW w:w="140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647679F1" w14:textId="77777777" w:rsidR="00423156" w:rsidRDefault="00000000">
            <w:pPr>
              <w:jc w:val="center"/>
            </w:pPr>
            <w:r>
              <w:rPr>
                <w:sz w:val="19"/>
                <w:szCs w:val="19"/>
              </w:rPr>
              <w:t>0.67</w:t>
            </w:r>
          </w:p>
        </w:tc>
      </w:tr>
      <w:tr w:rsidR="00423156" w14:paraId="322A9E3B"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616D988A" w14:textId="77777777" w:rsidR="00423156" w:rsidRDefault="00000000">
            <w:r>
              <w:rPr>
                <w:sz w:val="19"/>
                <w:szCs w:val="19"/>
              </w:rPr>
              <w:t>Avenue grouped (3 classes)</w:t>
            </w:r>
          </w:p>
        </w:tc>
        <w:tc>
          <w:tcPr>
            <w:tcW w:w="11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4481D2A1" w14:textId="77777777" w:rsidR="00423156" w:rsidRDefault="00000000">
            <w:pPr>
              <w:jc w:val="center"/>
            </w:pPr>
            <w:r>
              <w:rPr>
                <w:sz w:val="19"/>
                <w:szCs w:val="19"/>
              </w:rPr>
              <w:t>40</w:t>
            </w:r>
          </w:p>
        </w:tc>
        <w:tc>
          <w:tcPr>
            <w:tcW w:w="13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437A44ED" w14:textId="77777777" w:rsidR="00423156" w:rsidRDefault="00000000">
            <w:pPr>
              <w:jc w:val="center"/>
            </w:pPr>
            <w:r>
              <w:rPr>
                <w:sz w:val="19"/>
                <w:szCs w:val="19"/>
              </w:rPr>
              <w:t>55.0%</w:t>
            </w:r>
          </w:p>
        </w:tc>
        <w:tc>
          <w:tcPr>
            <w:tcW w:w="13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44B31B27" w14:textId="77777777" w:rsidR="00423156" w:rsidRDefault="00000000">
            <w:pPr>
              <w:jc w:val="center"/>
            </w:pPr>
            <w:r>
              <w:rPr>
                <w:sz w:val="19"/>
                <w:szCs w:val="19"/>
              </w:rPr>
              <w:t>45.0%</w:t>
            </w:r>
          </w:p>
        </w:tc>
        <w:tc>
          <w:tcPr>
            <w:tcW w:w="13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262585F4" w14:textId="77777777" w:rsidR="00423156" w:rsidRDefault="00000000">
            <w:pPr>
              <w:jc w:val="center"/>
            </w:pPr>
            <w:r>
              <w:rPr>
                <w:sz w:val="19"/>
                <w:szCs w:val="19"/>
              </w:rPr>
              <w:t>+10.0 pts</w:t>
            </w:r>
          </w:p>
        </w:tc>
        <w:tc>
          <w:tcPr>
            <w:tcW w:w="140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0890B2DE" w14:textId="77777777" w:rsidR="00423156" w:rsidRDefault="00000000">
            <w:pPr>
              <w:jc w:val="center"/>
            </w:pPr>
            <w:r>
              <w:rPr>
                <w:sz w:val="19"/>
                <w:szCs w:val="19"/>
              </w:rPr>
              <w:t>0.47</w:t>
            </w:r>
          </w:p>
        </w:tc>
      </w:tr>
      <w:tr w:rsidR="00423156" w14:paraId="10483A08"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2804FE06" w14:textId="77777777" w:rsidR="00423156" w:rsidRDefault="00000000">
            <w:r>
              <w:rPr>
                <w:sz w:val="19"/>
                <w:szCs w:val="19"/>
              </w:rPr>
              <w:t>Monitoring: frequent vs monthly</w:t>
            </w:r>
          </w:p>
        </w:tc>
        <w:tc>
          <w:tcPr>
            <w:tcW w:w="11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6291F5AF" w14:textId="77777777" w:rsidR="00423156" w:rsidRDefault="00000000">
            <w:pPr>
              <w:jc w:val="center"/>
            </w:pPr>
            <w:r>
              <w:rPr>
                <w:sz w:val="19"/>
                <w:szCs w:val="19"/>
              </w:rPr>
              <w:t>40</w:t>
            </w:r>
          </w:p>
        </w:tc>
        <w:tc>
          <w:tcPr>
            <w:tcW w:w="13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148B1BAF" w14:textId="77777777" w:rsidR="00423156" w:rsidRDefault="00000000">
            <w:pPr>
              <w:jc w:val="center"/>
            </w:pPr>
            <w:r>
              <w:rPr>
                <w:sz w:val="19"/>
                <w:szCs w:val="19"/>
              </w:rPr>
              <w:t>77.5%</w:t>
            </w:r>
          </w:p>
        </w:tc>
        <w:tc>
          <w:tcPr>
            <w:tcW w:w="13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37B1CBA3" w14:textId="77777777" w:rsidR="00423156" w:rsidRDefault="00000000">
            <w:pPr>
              <w:jc w:val="center"/>
            </w:pPr>
            <w:r>
              <w:rPr>
                <w:sz w:val="19"/>
                <w:szCs w:val="19"/>
              </w:rPr>
              <w:t>72.5%</w:t>
            </w:r>
          </w:p>
        </w:tc>
        <w:tc>
          <w:tcPr>
            <w:tcW w:w="13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3ADDF57F" w14:textId="77777777" w:rsidR="00423156" w:rsidRDefault="00000000">
            <w:pPr>
              <w:jc w:val="center"/>
            </w:pPr>
            <w:r>
              <w:rPr>
                <w:sz w:val="19"/>
                <w:szCs w:val="19"/>
              </w:rPr>
              <w:t>+5.0 pts</w:t>
            </w:r>
          </w:p>
        </w:tc>
        <w:tc>
          <w:tcPr>
            <w:tcW w:w="140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701FD556" w14:textId="77777777" w:rsidR="00423156" w:rsidRDefault="00000000">
            <w:pPr>
              <w:jc w:val="center"/>
            </w:pPr>
            <w:r>
              <w:rPr>
                <w:sz w:val="19"/>
                <w:szCs w:val="19"/>
              </w:rPr>
              <w:t>0.66</w:t>
            </w:r>
          </w:p>
        </w:tc>
      </w:tr>
      <w:tr w:rsidR="00423156" w14:paraId="367A1472"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3DE70D10" w14:textId="77777777" w:rsidR="00423156" w:rsidRDefault="00000000">
            <w:r>
              <w:rPr>
                <w:sz w:val="19"/>
                <w:szCs w:val="19"/>
              </w:rPr>
              <w:t>Avenue (4 classes)</w:t>
            </w:r>
          </w:p>
        </w:tc>
        <w:tc>
          <w:tcPr>
            <w:tcW w:w="11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63ECF594" w14:textId="77777777" w:rsidR="00423156" w:rsidRDefault="00000000">
            <w:pPr>
              <w:jc w:val="center"/>
            </w:pPr>
            <w:r>
              <w:rPr>
                <w:sz w:val="19"/>
                <w:szCs w:val="19"/>
              </w:rPr>
              <w:t>40</w:t>
            </w:r>
          </w:p>
        </w:tc>
        <w:tc>
          <w:tcPr>
            <w:tcW w:w="13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149615A5" w14:textId="77777777" w:rsidR="00423156" w:rsidRDefault="00000000">
            <w:pPr>
              <w:jc w:val="center"/>
            </w:pPr>
            <w:r>
              <w:rPr>
                <w:sz w:val="19"/>
                <w:szCs w:val="19"/>
              </w:rPr>
              <w:t>47.5%</w:t>
            </w:r>
          </w:p>
        </w:tc>
        <w:tc>
          <w:tcPr>
            <w:tcW w:w="13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5CC91D7A" w14:textId="77777777" w:rsidR="00423156" w:rsidRDefault="00000000">
            <w:pPr>
              <w:jc w:val="center"/>
            </w:pPr>
            <w:r>
              <w:rPr>
                <w:sz w:val="19"/>
                <w:szCs w:val="19"/>
              </w:rPr>
              <w:t>45.0%</w:t>
            </w:r>
          </w:p>
        </w:tc>
        <w:tc>
          <w:tcPr>
            <w:tcW w:w="13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2A7CB68D" w14:textId="77777777" w:rsidR="00423156" w:rsidRDefault="00000000">
            <w:pPr>
              <w:jc w:val="center"/>
            </w:pPr>
            <w:r>
              <w:rPr>
                <w:sz w:val="19"/>
                <w:szCs w:val="19"/>
              </w:rPr>
              <w:t>+2.5 pts</w:t>
            </w:r>
          </w:p>
        </w:tc>
        <w:tc>
          <w:tcPr>
            <w:tcW w:w="140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0D7401EA" w14:textId="77777777" w:rsidR="00423156" w:rsidRDefault="00000000">
            <w:pPr>
              <w:jc w:val="center"/>
            </w:pPr>
            <w:r>
              <w:rPr>
                <w:sz w:val="19"/>
                <w:szCs w:val="19"/>
              </w:rPr>
              <w:t>0.43</w:t>
            </w:r>
          </w:p>
        </w:tc>
      </w:tr>
    </w:tbl>
    <w:p w14:paraId="046F3A3A" w14:textId="77777777" w:rsidR="00423156" w:rsidRDefault="00000000">
      <w:pPr>
        <w:spacing w:before="80" w:after="160"/>
      </w:pPr>
      <w:r>
        <w:rPr>
          <w:i/>
          <w:iCs/>
          <w:color w:val="6B7280"/>
          <w:sz w:val="18"/>
          <w:szCs w:val="18"/>
        </w:rPr>
        <w:t>Gain is measured in percentage points. With 40 respondents, one extra correct prediction equals 2.5 points.</w:t>
      </w:r>
    </w:p>
    <w:p w14:paraId="3A196A42" w14:textId="77777777" w:rsidR="00423156" w:rsidRDefault="00000000">
      <w:pPr>
        <w:pStyle w:val="Heading1"/>
        <w:pBdr>
          <w:bottom w:val="single" w:sz="6" w:space="2" w:color="C9A227"/>
        </w:pBdr>
      </w:pPr>
      <w:r>
        <w:t>4. Results by target</w:t>
      </w:r>
    </w:p>
    <w:p w14:paraId="7C0E3FBD" w14:textId="77777777" w:rsidR="00423156" w:rsidRDefault="00000000">
      <w:pPr>
        <w:keepNext/>
        <w:spacing w:before="180" w:after="80"/>
      </w:pPr>
      <w:r>
        <w:rPr>
          <w:b/>
          <w:bCs/>
          <w:color w:val="14284B"/>
          <w:sz w:val="24"/>
          <w:szCs w:val="24"/>
        </w:rPr>
        <w:t>4.1 Avenue (4 classes)</w:t>
      </w:r>
    </w:p>
    <w:p w14:paraId="49B026BA" w14:textId="77777777" w:rsidR="00423156" w:rsidRDefault="00000000">
      <w:pPr>
        <w:spacing w:after="140" w:line="276" w:lineRule="auto"/>
      </w:pPr>
      <w:r>
        <w:t>The model gets 19 of 40 right (47.5%), only one respondent better than always predicting Mutual Fund (45%). It predicts Mutual Fund 25 times although only 18 respondents truly prefer it, so the other classes lose out.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2"/>
        <w:gridCol w:w="1650"/>
        <w:gridCol w:w="1650"/>
        <w:gridCol w:w="1650"/>
        <w:gridCol w:w="1650"/>
      </w:tblGrid>
      <w:tr w:rsidR="00423156" w14:paraId="4BA37E89" w14:textId="77777777">
        <w:tblPrEx>
          <w:tblCellMar>
            <w:top w:w="0" w:type="dxa"/>
            <w:bottom w:w="0" w:type="dxa"/>
          </w:tblCellMar>
        </w:tblPrEx>
        <w:trPr>
          <w:tblHeader/>
        </w:trPr>
        <w:tc>
          <w:tcPr>
            <w:tcW w:w="2812"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05CA8B29" w14:textId="77777777" w:rsidR="00423156" w:rsidRDefault="00000000">
            <w:r>
              <w:rPr>
                <w:b/>
                <w:bCs/>
                <w:color w:val="FFFFFF"/>
                <w:sz w:val="19"/>
                <w:szCs w:val="19"/>
              </w:rPr>
              <w:t>Class (true)</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4649525A" w14:textId="77777777" w:rsidR="00423156" w:rsidRDefault="00000000">
            <w:pPr>
              <w:jc w:val="center"/>
            </w:pPr>
            <w:r>
              <w:rPr>
                <w:b/>
                <w:bCs/>
                <w:color w:val="FFFFFF"/>
                <w:sz w:val="19"/>
                <w:szCs w:val="19"/>
              </w:rPr>
              <w:t>Recall</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05E911DA" w14:textId="77777777" w:rsidR="00423156" w:rsidRDefault="00000000">
            <w:pPr>
              <w:jc w:val="center"/>
            </w:pPr>
            <w:r>
              <w:rPr>
                <w:b/>
                <w:bCs/>
                <w:color w:val="FFFFFF"/>
                <w:sz w:val="19"/>
                <w:szCs w:val="19"/>
              </w:rPr>
              <w:t>Precision</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595E92CA" w14:textId="77777777" w:rsidR="00423156" w:rsidRDefault="00000000">
            <w:pPr>
              <w:jc w:val="center"/>
            </w:pPr>
            <w:r>
              <w:rPr>
                <w:b/>
                <w:bCs/>
                <w:color w:val="FFFFFF"/>
                <w:sz w:val="19"/>
                <w:szCs w:val="19"/>
              </w:rPr>
              <w:t>Correct / total</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1C322ADF" w14:textId="77777777" w:rsidR="00423156" w:rsidRDefault="00000000">
            <w:pPr>
              <w:jc w:val="center"/>
            </w:pPr>
            <w:r>
              <w:rPr>
                <w:b/>
                <w:bCs/>
                <w:color w:val="FFFFFF"/>
                <w:sz w:val="19"/>
                <w:szCs w:val="19"/>
              </w:rPr>
              <w:t>Most common error</w:t>
            </w:r>
          </w:p>
        </w:tc>
      </w:tr>
      <w:tr w:rsidR="00423156" w14:paraId="59114132"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5A3A1939" w14:textId="77777777" w:rsidR="00423156" w:rsidRDefault="00000000">
            <w:r>
              <w:rPr>
                <w:sz w:val="19"/>
                <w:szCs w:val="19"/>
              </w:rPr>
              <w:t>Mutual Fund</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01E6762E" w14:textId="77777777" w:rsidR="00423156" w:rsidRDefault="00000000">
            <w:pPr>
              <w:jc w:val="center"/>
            </w:pPr>
            <w:r>
              <w:rPr>
                <w:sz w:val="19"/>
                <w:szCs w:val="19"/>
              </w:rPr>
              <w:t>83.3%</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0150675B" w14:textId="77777777" w:rsidR="00423156" w:rsidRDefault="00000000">
            <w:pPr>
              <w:jc w:val="center"/>
            </w:pPr>
            <w:r>
              <w:rPr>
                <w:sz w:val="19"/>
                <w:szCs w:val="19"/>
              </w:rPr>
              <w:t>60.0%</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0499BAB9" w14:textId="77777777" w:rsidR="00423156" w:rsidRDefault="00000000">
            <w:pPr>
              <w:jc w:val="center"/>
            </w:pPr>
            <w:r>
              <w:rPr>
                <w:sz w:val="19"/>
                <w:szCs w:val="19"/>
              </w:rPr>
              <w:t>15 / 18</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189CF936" w14:textId="77777777" w:rsidR="00423156" w:rsidRDefault="00000000">
            <w:pPr>
              <w:jc w:val="center"/>
            </w:pPr>
            <w:r>
              <w:rPr>
                <w:sz w:val="19"/>
                <w:szCs w:val="19"/>
              </w:rPr>
              <w:t>2 to Equity, 1 to FD</w:t>
            </w:r>
          </w:p>
        </w:tc>
      </w:tr>
      <w:tr w:rsidR="00423156" w14:paraId="282812B6"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05FF107D" w14:textId="77777777" w:rsidR="00423156" w:rsidRDefault="00000000">
            <w:r>
              <w:rPr>
                <w:sz w:val="19"/>
                <w:szCs w:val="19"/>
              </w:rPr>
              <w:t>Public Provident Fund</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252831A0" w14:textId="77777777" w:rsidR="00423156" w:rsidRDefault="00000000">
            <w:pPr>
              <w:jc w:val="center"/>
            </w:pPr>
            <w:r>
              <w:rPr>
                <w:sz w:val="19"/>
                <w:szCs w:val="19"/>
              </w:rPr>
              <w:t>66.7%</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12049308" w14:textId="77777777" w:rsidR="00423156" w:rsidRDefault="00000000">
            <w:pPr>
              <w:jc w:val="center"/>
            </w:pPr>
            <w:r>
              <w:rPr>
                <w:sz w:val="19"/>
                <w:szCs w:val="19"/>
              </w:rPr>
              <w:t>100%</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54894D75" w14:textId="77777777" w:rsidR="00423156" w:rsidRDefault="00000000">
            <w:pPr>
              <w:jc w:val="center"/>
            </w:pPr>
            <w:r>
              <w:rPr>
                <w:sz w:val="19"/>
                <w:szCs w:val="19"/>
              </w:rPr>
              <w:t>2 / 3</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326D5A25" w14:textId="77777777" w:rsidR="00423156" w:rsidRDefault="00000000">
            <w:pPr>
              <w:jc w:val="center"/>
            </w:pPr>
            <w:r>
              <w:rPr>
                <w:sz w:val="19"/>
                <w:szCs w:val="19"/>
              </w:rPr>
              <w:t>1 to Fixed Deposits</w:t>
            </w:r>
          </w:p>
        </w:tc>
      </w:tr>
      <w:tr w:rsidR="00423156" w14:paraId="3D646EBF"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24629EB8" w14:textId="77777777" w:rsidR="00423156" w:rsidRDefault="00000000">
            <w:r>
              <w:rPr>
                <w:sz w:val="19"/>
                <w:szCs w:val="19"/>
              </w:rPr>
              <w:t>Equity</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766FC112" w14:textId="77777777" w:rsidR="00423156" w:rsidRDefault="00000000">
            <w:pPr>
              <w:jc w:val="center"/>
            </w:pPr>
            <w:r>
              <w:rPr>
                <w:sz w:val="19"/>
                <w:szCs w:val="19"/>
              </w:rPr>
              <w:t>20.0%</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384ED3A3" w14:textId="77777777" w:rsidR="00423156" w:rsidRDefault="00000000">
            <w:pPr>
              <w:jc w:val="center"/>
            </w:pPr>
            <w:r>
              <w:rPr>
                <w:sz w:val="19"/>
                <w:szCs w:val="19"/>
              </w:rPr>
              <w:t>25.0%</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4319F70C" w14:textId="77777777" w:rsidR="00423156" w:rsidRDefault="00000000">
            <w:pPr>
              <w:jc w:val="center"/>
            </w:pPr>
            <w:r>
              <w:rPr>
                <w:sz w:val="19"/>
                <w:szCs w:val="19"/>
              </w:rPr>
              <w:t>2 / 10</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5627513D" w14:textId="77777777" w:rsidR="00423156" w:rsidRDefault="00000000">
            <w:pPr>
              <w:jc w:val="center"/>
            </w:pPr>
            <w:r>
              <w:rPr>
                <w:sz w:val="19"/>
                <w:szCs w:val="19"/>
              </w:rPr>
              <w:t>5 to Mutual Fund</w:t>
            </w:r>
          </w:p>
        </w:tc>
      </w:tr>
      <w:tr w:rsidR="00423156" w14:paraId="629F02F7"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50F96A34" w14:textId="77777777" w:rsidR="00423156" w:rsidRDefault="00000000">
            <w:r>
              <w:rPr>
                <w:sz w:val="19"/>
                <w:szCs w:val="19"/>
              </w:rPr>
              <w:t>Fixed Deposits</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0B6C3E69" w14:textId="77777777" w:rsidR="00423156" w:rsidRDefault="00000000">
            <w:pPr>
              <w:jc w:val="center"/>
            </w:pPr>
            <w:r>
              <w:rPr>
                <w:sz w:val="19"/>
                <w:szCs w:val="19"/>
              </w:rPr>
              <w:t>0.0%</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52A2FCBD" w14:textId="77777777" w:rsidR="00423156" w:rsidRDefault="00000000">
            <w:pPr>
              <w:jc w:val="center"/>
            </w:pPr>
            <w:r>
              <w:rPr>
                <w:sz w:val="19"/>
                <w:szCs w:val="19"/>
              </w:rPr>
              <w:t>0.0%</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51C6BA26" w14:textId="77777777" w:rsidR="00423156" w:rsidRDefault="00000000">
            <w:pPr>
              <w:jc w:val="center"/>
            </w:pPr>
            <w:r>
              <w:rPr>
                <w:sz w:val="19"/>
                <w:szCs w:val="19"/>
              </w:rPr>
              <w:t>0 / 9</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4FE01553" w14:textId="77777777" w:rsidR="00423156" w:rsidRDefault="00000000">
            <w:pPr>
              <w:jc w:val="center"/>
            </w:pPr>
            <w:r>
              <w:rPr>
                <w:sz w:val="19"/>
                <w:szCs w:val="19"/>
              </w:rPr>
              <w:t>5 to MF, 4 to Equity</w:t>
            </w:r>
          </w:p>
        </w:tc>
      </w:tr>
    </w:tbl>
    <w:p w14:paraId="0941BA91" w14:textId="77777777" w:rsidR="00423156" w:rsidRDefault="00423156">
      <w:pPr>
        <w:spacing w:after="140"/>
      </w:pPr>
    </w:p>
    <w:p w14:paraId="399EF151" w14:textId="77777777" w:rsidR="00423156" w:rsidRDefault="00000000">
      <w:pPr>
        <w:pStyle w:val="ListParagraph"/>
        <w:numPr>
          <w:ilvl w:val="0"/>
          <w:numId w:val="2"/>
        </w:numPr>
        <w:spacing w:after="100" w:line="276" w:lineRule="auto"/>
      </w:pPr>
      <w:r>
        <w:rPr>
          <w:b/>
          <w:bCs/>
        </w:rPr>
        <w:t xml:space="preserve">Fixed Deposits are never identified. </w:t>
      </w:r>
      <w:r>
        <w:t>None of the 9 respondents who prefer them is classified correctly; 5 are labelled Mutual Fund and 4 Equity.</w:t>
      </w:r>
    </w:p>
    <w:p w14:paraId="219C8373" w14:textId="77777777" w:rsidR="00423156" w:rsidRDefault="00000000">
      <w:pPr>
        <w:pStyle w:val="ListParagraph"/>
        <w:numPr>
          <w:ilvl w:val="0"/>
          <w:numId w:val="2"/>
        </w:numPr>
        <w:spacing w:after="100" w:line="276" w:lineRule="auto"/>
      </w:pPr>
      <w:r>
        <w:rPr>
          <w:b/>
          <w:bCs/>
        </w:rPr>
        <w:t xml:space="preserve">Equity is mostly mistaken for Mutual Fund. </w:t>
      </w:r>
      <w:r>
        <w:t>Only 2 of 10 are correct, with 5 sent to Mutual Fund and 3 to Fixed Deposits.</w:t>
      </w:r>
    </w:p>
    <w:p w14:paraId="0C6B9026" w14:textId="77777777" w:rsidR="00423156" w:rsidRDefault="00000000">
      <w:pPr>
        <w:pStyle w:val="ListParagraph"/>
        <w:numPr>
          <w:ilvl w:val="0"/>
          <w:numId w:val="2"/>
        </w:numPr>
        <w:spacing w:after="100" w:line="276" w:lineRule="auto"/>
      </w:pPr>
      <w:r>
        <w:rPr>
          <w:b/>
          <w:bCs/>
        </w:rPr>
        <w:t xml:space="preserve">Public Provident Fund looks good but rests on 3 respondents. </w:t>
      </w:r>
      <w:r>
        <w:t>Both predictions of this class were right, but with so few cases this is not reliable.</w:t>
      </w:r>
    </w:p>
    <w:p w14:paraId="1585AC38" w14:textId="77777777" w:rsidR="00423156" w:rsidRDefault="00000000">
      <w:pPr>
        <w:keepNext/>
        <w:spacing w:before="180" w:after="80"/>
      </w:pPr>
      <w:r>
        <w:rPr>
          <w:b/>
          <w:bCs/>
          <w:color w:val="14284B"/>
          <w:sz w:val="24"/>
          <w:szCs w:val="24"/>
        </w:rPr>
        <w:t>4.2 Avenue grouped (3 classes)</w:t>
      </w:r>
    </w:p>
    <w:p w14:paraId="442C8C7A" w14:textId="77777777" w:rsidR="00423156" w:rsidRDefault="00000000">
      <w:pPr>
        <w:spacing w:after="140" w:line="276" w:lineRule="auto"/>
      </w:pPr>
      <w:r>
        <w:t>Merging Fixed Deposits and Public Provident Fund into a “Safe” class raises accuracy to 55.0% (22 of 40), 10 points above the 45% baseline. The model still leans on Mutual Fund (25 predictions).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2"/>
        <w:gridCol w:w="1650"/>
        <w:gridCol w:w="1650"/>
        <w:gridCol w:w="1650"/>
        <w:gridCol w:w="1650"/>
      </w:tblGrid>
      <w:tr w:rsidR="00423156" w14:paraId="040342B7" w14:textId="77777777">
        <w:tblPrEx>
          <w:tblCellMar>
            <w:top w:w="0" w:type="dxa"/>
            <w:bottom w:w="0" w:type="dxa"/>
          </w:tblCellMar>
        </w:tblPrEx>
        <w:trPr>
          <w:tblHeader/>
        </w:trPr>
        <w:tc>
          <w:tcPr>
            <w:tcW w:w="2812"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7C15FDA2" w14:textId="77777777" w:rsidR="00423156" w:rsidRDefault="00000000">
            <w:r>
              <w:rPr>
                <w:b/>
                <w:bCs/>
                <w:color w:val="FFFFFF"/>
                <w:sz w:val="19"/>
                <w:szCs w:val="19"/>
              </w:rPr>
              <w:t>Class (true)</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72B01D78" w14:textId="77777777" w:rsidR="00423156" w:rsidRDefault="00000000">
            <w:pPr>
              <w:jc w:val="center"/>
            </w:pPr>
            <w:r>
              <w:rPr>
                <w:b/>
                <w:bCs/>
                <w:color w:val="FFFFFF"/>
                <w:sz w:val="19"/>
                <w:szCs w:val="19"/>
              </w:rPr>
              <w:t>Recall</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69677AE7" w14:textId="77777777" w:rsidR="00423156" w:rsidRDefault="00000000">
            <w:pPr>
              <w:jc w:val="center"/>
            </w:pPr>
            <w:r>
              <w:rPr>
                <w:b/>
                <w:bCs/>
                <w:color w:val="FFFFFF"/>
                <w:sz w:val="19"/>
                <w:szCs w:val="19"/>
              </w:rPr>
              <w:t>Precision</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41E2E8ED" w14:textId="77777777" w:rsidR="00423156" w:rsidRDefault="00000000">
            <w:pPr>
              <w:jc w:val="center"/>
            </w:pPr>
            <w:r>
              <w:rPr>
                <w:b/>
                <w:bCs/>
                <w:color w:val="FFFFFF"/>
                <w:sz w:val="19"/>
                <w:szCs w:val="19"/>
              </w:rPr>
              <w:t>Correct / total</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390EB359" w14:textId="77777777" w:rsidR="00423156" w:rsidRDefault="00000000">
            <w:pPr>
              <w:jc w:val="center"/>
            </w:pPr>
            <w:r>
              <w:rPr>
                <w:b/>
                <w:bCs/>
                <w:color w:val="FFFFFF"/>
                <w:sz w:val="19"/>
                <w:szCs w:val="19"/>
              </w:rPr>
              <w:t>Most common error</w:t>
            </w:r>
          </w:p>
        </w:tc>
      </w:tr>
      <w:tr w:rsidR="00423156" w14:paraId="7151A332"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0C2310BE" w14:textId="77777777" w:rsidR="00423156" w:rsidRDefault="00000000">
            <w:r>
              <w:rPr>
                <w:sz w:val="19"/>
                <w:szCs w:val="19"/>
              </w:rPr>
              <w:t>Mutual Fund</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38460D95" w14:textId="77777777" w:rsidR="00423156" w:rsidRDefault="00000000">
            <w:pPr>
              <w:jc w:val="center"/>
            </w:pPr>
            <w:r>
              <w:rPr>
                <w:sz w:val="19"/>
                <w:szCs w:val="19"/>
              </w:rPr>
              <w:t>83.3%</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7283EEAF" w14:textId="77777777" w:rsidR="00423156" w:rsidRDefault="00000000">
            <w:pPr>
              <w:jc w:val="center"/>
            </w:pPr>
            <w:r>
              <w:rPr>
                <w:sz w:val="19"/>
                <w:szCs w:val="19"/>
              </w:rPr>
              <w:t>60.0%</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4A689C72" w14:textId="77777777" w:rsidR="00423156" w:rsidRDefault="00000000">
            <w:pPr>
              <w:jc w:val="center"/>
            </w:pPr>
            <w:r>
              <w:rPr>
                <w:sz w:val="19"/>
                <w:szCs w:val="19"/>
              </w:rPr>
              <w:t>15 / 18</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2A469868" w14:textId="77777777" w:rsidR="00423156" w:rsidRDefault="00000000">
            <w:pPr>
              <w:jc w:val="center"/>
            </w:pPr>
            <w:r>
              <w:rPr>
                <w:sz w:val="19"/>
                <w:szCs w:val="19"/>
              </w:rPr>
              <w:t>2 to Safe, 1 to Equity</w:t>
            </w:r>
          </w:p>
        </w:tc>
      </w:tr>
      <w:tr w:rsidR="00423156" w14:paraId="07712508"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63EEB810" w14:textId="77777777" w:rsidR="00423156" w:rsidRDefault="00000000">
            <w:r>
              <w:rPr>
                <w:sz w:val="19"/>
                <w:szCs w:val="19"/>
              </w:rPr>
              <w:t>Safe (FD/PPF)</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5818243D" w14:textId="77777777" w:rsidR="00423156" w:rsidRDefault="00000000">
            <w:pPr>
              <w:jc w:val="center"/>
            </w:pPr>
            <w:r>
              <w:rPr>
                <w:sz w:val="19"/>
                <w:szCs w:val="19"/>
              </w:rPr>
              <w:t>41.7%</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31331D9D" w14:textId="77777777" w:rsidR="00423156" w:rsidRDefault="00000000">
            <w:pPr>
              <w:jc w:val="center"/>
            </w:pPr>
            <w:r>
              <w:rPr>
                <w:sz w:val="19"/>
                <w:szCs w:val="19"/>
              </w:rPr>
              <w:t>50.0%</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1103E7A1" w14:textId="77777777" w:rsidR="00423156" w:rsidRDefault="00000000">
            <w:pPr>
              <w:jc w:val="center"/>
            </w:pPr>
            <w:r>
              <w:rPr>
                <w:sz w:val="19"/>
                <w:szCs w:val="19"/>
              </w:rPr>
              <w:t>5 / 12</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5DD9CBED" w14:textId="77777777" w:rsidR="00423156" w:rsidRDefault="00000000">
            <w:pPr>
              <w:jc w:val="center"/>
            </w:pPr>
            <w:r>
              <w:rPr>
                <w:sz w:val="19"/>
                <w:szCs w:val="19"/>
              </w:rPr>
              <w:t>5 to Mutual Fund</w:t>
            </w:r>
          </w:p>
        </w:tc>
      </w:tr>
      <w:tr w:rsidR="00423156" w14:paraId="02D2EC5E"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1AA666E5" w14:textId="77777777" w:rsidR="00423156" w:rsidRDefault="00000000">
            <w:r>
              <w:rPr>
                <w:sz w:val="19"/>
                <w:szCs w:val="19"/>
              </w:rPr>
              <w:t>Equity</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7CC62180" w14:textId="77777777" w:rsidR="00423156" w:rsidRDefault="00000000">
            <w:pPr>
              <w:jc w:val="center"/>
            </w:pPr>
            <w:r>
              <w:rPr>
                <w:sz w:val="19"/>
                <w:szCs w:val="19"/>
              </w:rPr>
              <w:t>20.0%</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5800222F" w14:textId="77777777" w:rsidR="00423156" w:rsidRDefault="00000000">
            <w:pPr>
              <w:jc w:val="center"/>
            </w:pPr>
            <w:r>
              <w:rPr>
                <w:sz w:val="19"/>
                <w:szCs w:val="19"/>
              </w:rPr>
              <w:t>40.0%</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182C5A7D" w14:textId="77777777" w:rsidR="00423156" w:rsidRDefault="00000000">
            <w:pPr>
              <w:jc w:val="center"/>
            </w:pPr>
            <w:r>
              <w:rPr>
                <w:sz w:val="19"/>
                <w:szCs w:val="19"/>
              </w:rPr>
              <w:t>2 / 10</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78983916" w14:textId="77777777" w:rsidR="00423156" w:rsidRDefault="00000000">
            <w:pPr>
              <w:jc w:val="center"/>
            </w:pPr>
            <w:r>
              <w:rPr>
                <w:sz w:val="19"/>
                <w:szCs w:val="19"/>
              </w:rPr>
              <w:t>5 to Mutual Fund</w:t>
            </w:r>
          </w:p>
        </w:tc>
      </w:tr>
    </w:tbl>
    <w:p w14:paraId="70C290DC" w14:textId="77777777" w:rsidR="00423156" w:rsidRDefault="00423156">
      <w:pPr>
        <w:spacing w:after="140"/>
      </w:pPr>
    </w:p>
    <w:p w14:paraId="733C4966" w14:textId="77777777" w:rsidR="00423156" w:rsidRDefault="00000000">
      <w:pPr>
        <w:pStyle w:val="ListParagraph"/>
        <w:numPr>
          <w:ilvl w:val="0"/>
          <w:numId w:val="2"/>
        </w:numPr>
        <w:spacing w:after="100" w:line="276" w:lineRule="auto"/>
      </w:pPr>
      <w:r>
        <w:rPr>
          <w:b/>
          <w:bCs/>
        </w:rPr>
        <w:lastRenderedPageBreak/>
        <w:t xml:space="preserve">Safe is now partly recognised. </w:t>
      </w:r>
      <w:r>
        <w:t>5 of 12 are correct, against 0 of 9 for Fixed Deposits alone, although 5 more are labelled Mutual Fund.</w:t>
      </w:r>
    </w:p>
    <w:p w14:paraId="6AD8BA2D" w14:textId="77777777" w:rsidR="00423156" w:rsidRDefault="00000000">
      <w:pPr>
        <w:pStyle w:val="ListParagraph"/>
        <w:numPr>
          <w:ilvl w:val="0"/>
          <w:numId w:val="2"/>
        </w:numPr>
        <w:spacing w:after="100" w:line="276" w:lineRule="auto"/>
      </w:pPr>
      <w:r>
        <w:rPr>
          <w:b/>
          <w:bCs/>
        </w:rPr>
        <w:t xml:space="preserve">Equity remains the hardest class. </w:t>
      </w:r>
      <w:r>
        <w:t>Only 2 of 10 are correct, and half are labelled Mutual Fund.</w:t>
      </w:r>
    </w:p>
    <w:p w14:paraId="176B2E63" w14:textId="77777777" w:rsidR="00423156" w:rsidRDefault="00000000">
      <w:pPr>
        <w:keepNext/>
        <w:spacing w:before="180" w:after="80"/>
      </w:pPr>
      <w:r>
        <w:rPr>
          <w:b/>
          <w:bCs/>
          <w:color w:val="14284B"/>
          <w:sz w:val="24"/>
          <w:szCs w:val="24"/>
        </w:rPr>
        <w:t>4.3 Monitoring: frequent vs monthly</w:t>
      </w:r>
    </w:p>
    <w:p w14:paraId="05DF3DF2" w14:textId="77777777" w:rsidR="00423156" w:rsidRDefault="00000000">
      <w:pPr>
        <w:spacing w:after="140" w:line="276" w:lineRule="auto"/>
      </w:pPr>
      <w:r>
        <w:t>Accuracy is 77.5% (31 of 40) against a 72.5% baseline, a gain of two respondents. The model leans heavily toward Monthly, predicting it 34 times.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2"/>
        <w:gridCol w:w="1650"/>
        <w:gridCol w:w="1650"/>
        <w:gridCol w:w="1650"/>
        <w:gridCol w:w="1650"/>
      </w:tblGrid>
      <w:tr w:rsidR="00423156" w14:paraId="06420758" w14:textId="77777777">
        <w:tblPrEx>
          <w:tblCellMar>
            <w:top w:w="0" w:type="dxa"/>
            <w:bottom w:w="0" w:type="dxa"/>
          </w:tblCellMar>
        </w:tblPrEx>
        <w:trPr>
          <w:tblHeader/>
        </w:trPr>
        <w:tc>
          <w:tcPr>
            <w:tcW w:w="2812"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6058264F" w14:textId="77777777" w:rsidR="00423156" w:rsidRDefault="00000000">
            <w:r>
              <w:rPr>
                <w:b/>
                <w:bCs/>
                <w:color w:val="FFFFFF"/>
                <w:sz w:val="19"/>
                <w:szCs w:val="19"/>
              </w:rPr>
              <w:t>Class (true)</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30C283C9" w14:textId="77777777" w:rsidR="00423156" w:rsidRDefault="00000000">
            <w:pPr>
              <w:jc w:val="center"/>
            </w:pPr>
            <w:r>
              <w:rPr>
                <w:b/>
                <w:bCs/>
                <w:color w:val="FFFFFF"/>
                <w:sz w:val="19"/>
                <w:szCs w:val="19"/>
              </w:rPr>
              <w:t>Recall</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31467CC1" w14:textId="77777777" w:rsidR="00423156" w:rsidRDefault="00000000">
            <w:pPr>
              <w:jc w:val="center"/>
            </w:pPr>
            <w:r>
              <w:rPr>
                <w:b/>
                <w:bCs/>
                <w:color w:val="FFFFFF"/>
                <w:sz w:val="19"/>
                <w:szCs w:val="19"/>
              </w:rPr>
              <w:t>Precision</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782CBD92" w14:textId="77777777" w:rsidR="00423156" w:rsidRDefault="00000000">
            <w:pPr>
              <w:jc w:val="center"/>
            </w:pPr>
            <w:r>
              <w:rPr>
                <w:b/>
                <w:bCs/>
                <w:color w:val="FFFFFF"/>
                <w:sz w:val="19"/>
                <w:szCs w:val="19"/>
              </w:rPr>
              <w:t>Correct / total</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6771727D" w14:textId="77777777" w:rsidR="00423156" w:rsidRDefault="00000000">
            <w:pPr>
              <w:jc w:val="center"/>
            </w:pPr>
            <w:r>
              <w:rPr>
                <w:b/>
                <w:bCs/>
                <w:color w:val="FFFFFF"/>
                <w:sz w:val="19"/>
                <w:szCs w:val="19"/>
              </w:rPr>
              <w:t>Most common error</w:t>
            </w:r>
          </w:p>
        </w:tc>
      </w:tr>
      <w:tr w:rsidR="00423156" w14:paraId="70AA062D"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2E207DF5" w14:textId="77777777" w:rsidR="00423156" w:rsidRDefault="00000000">
            <w:r>
              <w:rPr>
                <w:sz w:val="19"/>
                <w:szCs w:val="19"/>
              </w:rPr>
              <w:t>Monthly</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2F8CE251" w14:textId="77777777" w:rsidR="00423156" w:rsidRDefault="00000000">
            <w:pPr>
              <w:jc w:val="center"/>
            </w:pPr>
            <w:r>
              <w:rPr>
                <w:sz w:val="19"/>
                <w:szCs w:val="19"/>
              </w:rPr>
              <w:t>93.1%</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4AD30DC0" w14:textId="77777777" w:rsidR="00423156" w:rsidRDefault="00000000">
            <w:pPr>
              <w:jc w:val="center"/>
            </w:pPr>
            <w:r>
              <w:rPr>
                <w:sz w:val="19"/>
                <w:szCs w:val="19"/>
              </w:rPr>
              <w:t>79.4%</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1DC34DCD" w14:textId="77777777" w:rsidR="00423156" w:rsidRDefault="00000000">
            <w:pPr>
              <w:jc w:val="center"/>
            </w:pPr>
            <w:r>
              <w:rPr>
                <w:sz w:val="19"/>
                <w:szCs w:val="19"/>
              </w:rPr>
              <w:t>27 / 29</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688C7D26" w14:textId="77777777" w:rsidR="00423156" w:rsidRDefault="00000000">
            <w:pPr>
              <w:jc w:val="center"/>
            </w:pPr>
            <w:r>
              <w:rPr>
                <w:sz w:val="19"/>
                <w:szCs w:val="19"/>
              </w:rPr>
              <w:t>2 to Weekly/Daily</w:t>
            </w:r>
          </w:p>
        </w:tc>
      </w:tr>
      <w:tr w:rsidR="00423156" w14:paraId="59E2A080"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45BBD15A" w14:textId="77777777" w:rsidR="00423156" w:rsidRDefault="00000000">
            <w:r>
              <w:rPr>
                <w:sz w:val="19"/>
                <w:szCs w:val="19"/>
              </w:rPr>
              <w:t>Weekly/Daily</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515B3DD7" w14:textId="77777777" w:rsidR="00423156" w:rsidRDefault="00000000">
            <w:pPr>
              <w:jc w:val="center"/>
            </w:pPr>
            <w:r>
              <w:rPr>
                <w:sz w:val="19"/>
                <w:szCs w:val="19"/>
              </w:rPr>
              <w:t>36.4%</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34603A45" w14:textId="77777777" w:rsidR="00423156" w:rsidRDefault="00000000">
            <w:pPr>
              <w:jc w:val="center"/>
            </w:pPr>
            <w:r>
              <w:rPr>
                <w:sz w:val="19"/>
                <w:szCs w:val="19"/>
              </w:rPr>
              <w:t>66.7%</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6AA848BF" w14:textId="77777777" w:rsidR="00423156" w:rsidRDefault="00000000">
            <w:pPr>
              <w:jc w:val="center"/>
            </w:pPr>
            <w:r>
              <w:rPr>
                <w:sz w:val="19"/>
                <w:szCs w:val="19"/>
              </w:rPr>
              <w:t>4 / 11</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54FBC5DD" w14:textId="77777777" w:rsidR="00423156" w:rsidRDefault="00000000">
            <w:pPr>
              <w:jc w:val="center"/>
            </w:pPr>
            <w:r>
              <w:rPr>
                <w:sz w:val="19"/>
                <w:szCs w:val="19"/>
              </w:rPr>
              <w:t>7 to Monthly</w:t>
            </w:r>
          </w:p>
        </w:tc>
      </w:tr>
    </w:tbl>
    <w:p w14:paraId="663439F2" w14:textId="77777777" w:rsidR="00423156" w:rsidRDefault="00423156">
      <w:pPr>
        <w:spacing w:after="140"/>
      </w:pPr>
    </w:p>
    <w:p w14:paraId="7C9FE4E2" w14:textId="77777777" w:rsidR="00423156" w:rsidRDefault="00000000">
      <w:pPr>
        <w:pStyle w:val="ListParagraph"/>
        <w:numPr>
          <w:ilvl w:val="0"/>
          <w:numId w:val="2"/>
        </w:numPr>
        <w:spacing w:after="100" w:line="276" w:lineRule="auto"/>
      </w:pPr>
      <w:r>
        <w:rPr>
          <w:b/>
          <w:bCs/>
        </w:rPr>
        <w:t xml:space="preserve">Frequent monitors are mostly missed. </w:t>
      </w:r>
      <w:r>
        <w:t>Only 4 of 11 Weekly/Daily respondents are found; 7 are labelled Monthly.</w:t>
      </w:r>
    </w:p>
    <w:p w14:paraId="1D1CA87E" w14:textId="77777777" w:rsidR="00423156" w:rsidRDefault="00000000">
      <w:pPr>
        <w:pStyle w:val="ListParagraph"/>
        <w:numPr>
          <w:ilvl w:val="0"/>
          <w:numId w:val="2"/>
        </w:numPr>
        <w:spacing w:after="100" w:line="276" w:lineRule="auto"/>
      </w:pPr>
      <w:r>
        <w:rPr>
          <w:b/>
          <w:bCs/>
        </w:rPr>
        <w:t xml:space="preserve">Accuracy overstates the result. </w:t>
      </w:r>
      <w:r>
        <w:t>Macro F1 of 0.66 is lower than accuracy, because the majority class dominates the score.</w:t>
      </w:r>
    </w:p>
    <w:p w14:paraId="6F789CF2" w14:textId="77777777" w:rsidR="00423156" w:rsidRDefault="00000000">
      <w:pPr>
        <w:keepNext/>
        <w:spacing w:before="180" w:after="80"/>
      </w:pPr>
      <w:r>
        <w:rPr>
          <w:b/>
          <w:bCs/>
          <w:color w:val="14284B"/>
          <w:sz w:val="24"/>
          <w:szCs w:val="24"/>
        </w:rPr>
        <w:t>4.4 Horizon: 3+ years vs shorter</w:t>
      </w:r>
    </w:p>
    <w:p w14:paraId="0129F271" w14:textId="77777777" w:rsidR="00423156" w:rsidRDefault="00000000">
      <w:pPr>
        <w:spacing w:after="140" w:line="276" w:lineRule="auto"/>
      </w:pPr>
      <w:r>
        <w:t>This is the strongest result. The classes are balanced (20 each), the baseline is 50%, and the model reaches 67.5% (27 of 40), a gain of 7 respondents.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2"/>
        <w:gridCol w:w="1650"/>
        <w:gridCol w:w="1650"/>
        <w:gridCol w:w="1650"/>
        <w:gridCol w:w="1650"/>
      </w:tblGrid>
      <w:tr w:rsidR="00423156" w14:paraId="748594CC" w14:textId="77777777">
        <w:tblPrEx>
          <w:tblCellMar>
            <w:top w:w="0" w:type="dxa"/>
            <w:bottom w:w="0" w:type="dxa"/>
          </w:tblCellMar>
        </w:tblPrEx>
        <w:trPr>
          <w:tblHeader/>
        </w:trPr>
        <w:tc>
          <w:tcPr>
            <w:tcW w:w="2812"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41469CB6" w14:textId="77777777" w:rsidR="00423156" w:rsidRDefault="00000000">
            <w:r>
              <w:rPr>
                <w:b/>
                <w:bCs/>
                <w:color w:val="FFFFFF"/>
                <w:sz w:val="19"/>
                <w:szCs w:val="19"/>
              </w:rPr>
              <w:t>Class (true)</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4CF6CCC8" w14:textId="77777777" w:rsidR="00423156" w:rsidRDefault="00000000">
            <w:pPr>
              <w:jc w:val="center"/>
            </w:pPr>
            <w:r>
              <w:rPr>
                <w:b/>
                <w:bCs/>
                <w:color w:val="FFFFFF"/>
                <w:sz w:val="19"/>
                <w:szCs w:val="19"/>
              </w:rPr>
              <w:t>Recall</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331AF1B8" w14:textId="77777777" w:rsidR="00423156" w:rsidRDefault="00000000">
            <w:pPr>
              <w:jc w:val="center"/>
            </w:pPr>
            <w:r>
              <w:rPr>
                <w:b/>
                <w:bCs/>
                <w:color w:val="FFFFFF"/>
                <w:sz w:val="19"/>
                <w:szCs w:val="19"/>
              </w:rPr>
              <w:t>Precision</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2BB7EA40" w14:textId="77777777" w:rsidR="00423156" w:rsidRDefault="00000000">
            <w:pPr>
              <w:jc w:val="center"/>
            </w:pPr>
            <w:r>
              <w:rPr>
                <w:b/>
                <w:bCs/>
                <w:color w:val="FFFFFF"/>
                <w:sz w:val="19"/>
                <w:szCs w:val="19"/>
              </w:rPr>
              <w:t>Correct / total</w:t>
            </w:r>
          </w:p>
        </w:tc>
        <w:tc>
          <w:tcPr>
            <w:tcW w:w="1650" w:type="dxa"/>
            <w:tcBorders>
              <w:top w:val="single" w:sz="4" w:space="0" w:color="BFC4CF"/>
              <w:left w:val="single" w:sz="4" w:space="0" w:color="BFC4CF"/>
              <w:bottom w:val="single" w:sz="4" w:space="0" w:color="BFC4CF"/>
              <w:right w:val="single" w:sz="4" w:space="0" w:color="BFC4CF"/>
            </w:tcBorders>
            <w:shd w:val="clear" w:color="auto" w:fill="14284B"/>
            <w:tcMar>
              <w:top w:w="70" w:type="dxa"/>
              <w:left w:w="100" w:type="dxa"/>
              <w:bottom w:w="70" w:type="dxa"/>
              <w:right w:w="100" w:type="dxa"/>
            </w:tcMar>
          </w:tcPr>
          <w:p w14:paraId="49A25AE3" w14:textId="77777777" w:rsidR="00423156" w:rsidRDefault="00000000">
            <w:pPr>
              <w:jc w:val="center"/>
            </w:pPr>
            <w:r>
              <w:rPr>
                <w:b/>
                <w:bCs/>
                <w:color w:val="FFFFFF"/>
                <w:sz w:val="19"/>
                <w:szCs w:val="19"/>
              </w:rPr>
              <w:t>Most common error</w:t>
            </w:r>
          </w:p>
        </w:tc>
      </w:tr>
      <w:tr w:rsidR="00423156" w14:paraId="754F0BA6"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43AA4A40" w14:textId="77777777" w:rsidR="00423156" w:rsidRDefault="00000000">
            <w:r>
              <w:rPr>
                <w:sz w:val="19"/>
                <w:szCs w:val="19"/>
              </w:rPr>
              <w:t>Under 3 years</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76EF41B4" w14:textId="77777777" w:rsidR="00423156" w:rsidRDefault="00000000">
            <w:pPr>
              <w:jc w:val="center"/>
            </w:pPr>
            <w:r>
              <w:rPr>
                <w:sz w:val="19"/>
                <w:szCs w:val="19"/>
              </w:rPr>
              <w:t>75.0%</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53B88908" w14:textId="77777777" w:rsidR="00423156" w:rsidRDefault="00000000">
            <w:pPr>
              <w:jc w:val="center"/>
            </w:pPr>
            <w:r>
              <w:rPr>
                <w:sz w:val="19"/>
                <w:szCs w:val="19"/>
              </w:rPr>
              <w:t>65.2%</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696DCE72" w14:textId="77777777" w:rsidR="00423156" w:rsidRDefault="00000000">
            <w:pPr>
              <w:jc w:val="center"/>
            </w:pPr>
            <w:r>
              <w:rPr>
                <w:sz w:val="19"/>
                <w:szCs w:val="19"/>
              </w:rPr>
              <w:t>15 / 20</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3495E3C0" w14:textId="77777777" w:rsidR="00423156" w:rsidRDefault="00000000">
            <w:pPr>
              <w:jc w:val="center"/>
            </w:pPr>
            <w:r>
              <w:rPr>
                <w:sz w:val="19"/>
                <w:szCs w:val="19"/>
              </w:rPr>
              <w:t>5 to 3+ years</w:t>
            </w:r>
          </w:p>
        </w:tc>
      </w:tr>
      <w:tr w:rsidR="00423156" w14:paraId="44D0A6A5" w14:textId="77777777">
        <w:tblPrEx>
          <w:tblCellMar>
            <w:top w:w="0" w:type="dxa"/>
            <w:bottom w:w="0" w:type="dxa"/>
          </w:tblCellMar>
        </w:tblPrEx>
        <w:tc>
          <w:tcPr>
            <w:tcW w:w="2812"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747EC368" w14:textId="77777777" w:rsidR="00423156" w:rsidRDefault="00000000">
            <w:r>
              <w:rPr>
                <w:sz w:val="19"/>
                <w:szCs w:val="19"/>
              </w:rPr>
              <w:t>3+ years</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3E1B6065" w14:textId="77777777" w:rsidR="00423156" w:rsidRDefault="00000000">
            <w:pPr>
              <w:jc w:val="center"/>
            </w:pPr>
            <w:r>
              <w:rPr>
                <w:sz w:val="19"/>
                <w:szCs w:val="19"/>
              </w:rPr>
              <w:t>60.0%</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3B4DE705" w14:textId="77777777" w:rsidR="00423156" w:rsidRDefault="00000000">
            <w:pPr>
              <w:jc w:val="center"/>
            </w:pPr>
            <w:r>
              <w:rPr>
                <w:sz w:val="19"/>
                <w:szCs w:val="19"/>
              </w:rPr>
              <w:t>70.6%</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36A48CF9" w14:textId="77777777" w:rsidR="00423156" w:rsidRDefault="00000000">
            <w:pPr>
              <w:jc w:val="center"/>
            </w:pPr>
            <w:r>
              <w:rPr>
                <w:sz w:val="19"/>
                <w:szCs w:val="19"/>
              </w:rPr>
              <w:t>12 / 20</w:t>
            </w:r>
          </w:p>
        </w:tc>
        <w:tc>
          <w:tcPr>
            <w:tcW w:w="1650" w:type="dxa"/>
            <w:tcBorders>
              <w:top w:val="single" w:sz="4" w:space="0" w:color="BFC4CF"/>
              <w:left w:val="single" w:sz="4" w:space="0" w:color="BFC4CF"/>
              <w:bottom w:val="single" w:sz="4" w:space="0" w:color="BFC4CF"/>
              <w:right w:val="single" w:sz="4" w:space="0" w:color="BFC4CF"/>
            </w:tcBorders>
            <w:tcMar>
              <w:top w:w="70" w:type="dxa"/>
              <w:left w:w="100" w:type="dxa"/>
              <w:bottom w:w="70" w:type="dxa"/>
              <w:right w:w="100" w:type="dxa"/>
            </w:tcMar>
          </w:tcPr>
          <w:p w14:paraId="61C10459" w14:textId="77777777" w:rsidR="00423156" w:rsidRDefault="00000000">
            <w:pPr>
              <w:jc w:val="center"/>
            </w:pPr>
            <w:r>
              <w:rPr>
                <w:sz w:val="19"/>
                <w:szCs w:val="19"/>
              </w:rPr>
              <w:t>8 to Under 3 years</w:t>
            </w:r>
          </w:p>
        </w:tc>
      </w:tr>
    </w:tbl>
    <w:p w14:paraId="1395D964" w14:textId="77777777" w:rsidR="00423156" w:rsidRDefault="00423156">
      <w:pPr>
        <w:spacing w:after="140"/>
      </w:pPr>
    </w:p>
    <w:p w14:paraId="76C195CF" w14:textId="77777777" w:rsidR="00423156" w:rsidRDefault="00000000">
      <w:pPr>
        <w:pStyle w:val="ListParagraph"/>
        <w:numPr>
          <w:ilvl w:val="0"/>
          <w:numId w:val="2"/>
        </w:numPr>
        <w:spacing w:after="100" w:line="276" w:lineRule="auto"/>
      </w:pPr>
      <w:r>
        <w:rPr>
          <w:b/>
          <w:bCs/>
        </w:rPr>
        <w:t xml:space="preserve">Errors are fairly even. </w:t>
      </w:r>
      <w:r>
        <w:t>8 long-horizon respondents are labelled Under 3 years and 5 short-horizon respondents are labelled 3+ years.</w:t>
      </w:r>
    </w:p>
    <w:p w14:paraId="7B9D2726" w14:textId="77777777" w:rsidR="00423156" w:rsidRDefault="00000000">
      <w:pPr>
        <w:pStyle w:val="ListParagraph"/>
        <w:numPr>
          <w:ilvl w:val="0"/>
          <w:numId w:val="2"/>
        </w:numPr>
        <w:spacing w:after="100" w:line="276" w:lineRule="auto"/>
      </w:pPr>
      <w:r>
        <w:rPr>
          <w:b/>
          <w:bCs/>
        </w:rPr>
        <w:t xml:space="preserve">Both classes are usable. </w:t>
      </w:r>
      <w:r>
        <w:t>Recall is 60% to 75% and precision 65% to 71%, so neither class is ignored.</w:t>
      </w:r>
    </w:p>
    <w:p w14:paraId="56F3CDDF" w14:textId="77777777" w:rsidR="00423156" w:rsidRDefault="00000000">
      <w:pPr>
        <w:pStyle w:val="Heading1"/>
        <w:pBdr>
          <w:bottom w:val="single" w:sz="6" w:space="2" w:color="C9A227"/>
        </w:pBdr>
      </w:pPr>
      <w:r>
        <w:t>5. Interpretation</w:t>
      </w:r>
    </w:p>
    <w:p w14:paraId="622DC198" w14:textId="77777777" w:rsidR="00423156" w:rsidRDefault="00000000">
      <w:pPr>
        <w:spacing w:after="140" w:line="276" w:lineRule="auto"/>
      </w:pPr>
      <w:r>
        <w:t>The pattern across the four matrices is consistent: the models rely on the largest class. This is clearest for the avenue targets, where Mutual Fund is over-predicted and the smaller classes are under-identified, and for Monitoring, where Monthly dominates. Horizon is the exception because its classes are balanced, so the model has to learn something real to score above 50%.</w:t>
      </w:r>
    </w:p>
    <w:p w14:paraId="1068DF67" w14:textId="77777777" w:rsidR="00423156" w:rsidRDefault="00000000">
      <w:pPr>
        <w:spacing w:after="140" w:line="276" w:lineRule="auto"/>
      </w:pPr>
      <w:r>
        <w:t>Grouping avenues helps because it replaces two tiny, hard-to-separate classes with one larger one, but Equity still cannot be separated from Mutual Fund. This suggests the available features say little about the difference between those two choices.</w:t>
      </w:r>
    </w:p>
    <w:p w14:paraId="224F3D93" w14:textId="77777777" w:rsidR="00423156" w:rsidRDefault="00000000">
      <w:pPr>
        <w:pStyle w:val="Heading1"/>
        <w:pBdr>
          <w:bottom w:val="single" w:sz="6" w:space="2" w:color="C9A227"/>
        </w:pBdr>
      </w:pPr>
      <w:r>
        <w:t>6. Limitations</w:t>
      </w:r>
    </w:p>
    <w:p w14:paraId="54F9EAFF" w14:textId="77777777" w:rsidR="00423156" w:rsidRDefault="00000000">
      <w:pPr>
        <w:pStyle w:val="ListParagraph"/>
        <w:numPr>
          <w:ilvl w:val="0"/>
          <w:numId w:val="2"/>
        </w:numPr>
        <w:spacing w:after="100" w:line="276" w:lineRule="auto"/>
      </w:pPr>
      <w:r>
        <w:t>Each matrix covers only 40 respondents. Classes such as Public Provident Fund (3 respondents) are too small for stable percentages, and a single respondent moves accuracy by 2.5 points.</w:t>
      </w:r>
    </w:p>
    <w:p w14:paraId="12B91421" w14:textId="77777777" w:rsidR="00423156" w:rsidRDefault="00000000">
      <w:pPr>
        <w:pStyle w:val="ListParagraph"/>
        <w:numPr>
          <w:ilvl w:val="0"/>
          <w:numId w:val="2"/>
        </w:numPr>
        <w:spacing w:after="100" w:line="276" w:lineRule="auto"/>
      </w:pPr>
      <w:r>
        <w:lastRenderedPageBreak/>
        <w:t>The figure does not say which model produced the matrices or whether the predictions come from cross-validation or a single split. Results may therefore differ from the model comparison chart.</w:t>
      </w:r>
    </w:p>
    <w:p w14:paraId="6145E125" w14:textId="77777777" w:rsidR="00423156" w:rsidRDefault="00000000">
      <w:pPr>
        <w:pStyle w:val="ListParagraph"/>
        <w:numPr>
          <w:ilvl w:val="0"/>
          <w:numId w:val="2"/>
        </w:numPr>
        <w:spacing w:after="100" w:line="276" w:lineRule="auto"/>
      </w:pPr>
      <w:r>
        <w:t>No confidence intervals are given, so the gains for Monitoring (+5 points) and four-class Avenue (+2.5 points) cannot be told apart from chance.</w:t>
      </w:r>
    </w:p>
    <w:p w14:paraId="50DB3A42" w14:textId="77777777" w:rsidR="00423156" w:rsidRDefault="00000000">
      <w:pPr>
        <w:pStyle w:val="Heading1"/>
        <w:pBdr>
          <w:bottom w:val="single" w:sz="6" w:space="2" w:color="C9A227"/>
        </w:pBdr>
      </w:pPr>
      <w:r>
        <w:t>7. Recommendations</w:t>
      </w:r>
    </w:p>
    <w:p w14:paraId="0556CC73" w14:textId="77777777" w:rsidR="00423156" w:rsidRDefault="00000000">
      <w:pPr>
        <w:pStyle w:val="ListParagraph"/>
        <w:numPr>
          <w:ilvl w:val="0"/>
          <w:numId w:val="2"/>
        </w:numPr>
        <w:spacing w:after="100" w:line="276" w:lineRule="auto"/>
      </w:pPr>
      <w:r>
        <w:t>Use Horizon as the main practical prediction target, and the grouped three-class avenue target in place of the four-class version.</w:t>
      </w:r>
    </w:p>
    <w:p w14:paraId="6DEDFC6A" w14:textId="77777777" w:rsidR="00423156" w:rsidRDefault="00000000">
      <w:pPr>
        <w:pStyle w:val="ListParagraph"/>
        <w:numPr>
          <w:ilvl w:val="0"/>
          <w:numId w:val="2"/>
        </w:numPr>
        <w:spacing w:after="100" w:line="276" w:lineRule="auto"/>
      </w:pPr>
      <w:r>
        <w:t>Do not use the four-class Avenue or Monitoring predictions for decisions until they clearly beat the baseline; for Monitoring, assess performance with recall on the Weekly/Daily class.</w:t>
      </w:r>
    </w:p>
    <w:p w14:paraId="5DF967E4" w14:textId="77777777" w:rsidR="00423156" w:rsidRDefault="00000000">
      <w:pPr>
        <w:pStyle w:val="ListParagraph"/>
        <w:numPr>
          <w:ilvl w:val="0"/>
          <w:numId w:val="2"/>
        </w:numPr>
        <w:spacing w:after="100" w:line="276" w:lineRule="auto"/>
      </w:pPr>
      <w:r>
        <w:t>Report macro F1 or per-class recall alongside accuracy, since accuracy hides the weak classes.</w:t>
      </w:r>
    </w:p>
    <w:p w14:paraId="4413798F" w14:textId="77777777" w:rsidR="00423156" w:rsidRDefault="00000000">
      <w:pPr>
        <w:pStyle w:val="ListParagraph"/>
        <w:numPr>
          <w:ilvl w:val="0"/>
          <w:numId w:val="2"/>
        </w:numPr>
        <w:spacing w:after="100" w:line="276" w:lineRule="auto"/>
      </w:pPr>
      <w:r>
        <w:t>Collect more respondents, or features that separate Equity from Mutual Fund, before refining the models further.</w:t>
      </w:r>
    </w:p>
    <w:p w14:paraId="3A2B33B9" w14:textId="77777777" w:rsidR="00423156" w:rsidRDefault="00000000">
      <w:pPr>
        <w:pStyle w:val="Heading1"/>
        <w:pBdr>
          <w:bottom w:val="single" w:sz="6" w:space="2" w:color="C9A227"/>
        </w:pBdr>
      </w:pPr>
      <w:r>
        <w:t>8. Conclusion</w:t>
      </w:r>
    </w:p>
    <w:p w14:paraId="266C12B4" w14:textId="77777777" w:rsidR="00423156" w:rsidRDefault="00000000">
      <w:pPr>
        <w:spacing w:after="140" w:line="276" w:lineRule="auto"/>
      </w:pPr>
      <w:r>
        <w:t>The confusion matrices show that predictive value is concentrated in the Horizon target (67.5% against 50%) and, to a lesser extent, the grouped avenue target (55% against 45%). For the other two targets the models mostly repeat the majority class, and Fixed Deposits and Weekly/Daily monitors are rarely identified. A larger sample would be needed to confirm these patterns.</w:t>
      </w:r>
    </w:p>
    <w:sectPr w:rsidR="00423156">
      <w:footerReference w:type="default" r:id="rId8"/>
      <w:pgSz w:w="11906" w:h="16838"/>
      <w:pgMar w:top="1247" w:right="1247" w:bottom="1247"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3A093" w14:textId="77777777" w:rsidR="007E6D7E" w:rsidRDefault="007E6D7E">
      <w:r>
        <w:separator/>
      </w:r>
    </w:p>
  </w:endnote>
  <w:endnote w:type="continuationSeparator" w:id="0">
    <w:p w14:paraId="72352538" w14:textId="77777777" w:rsidR="007E6D7E" w:rsidRDefault="007E6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504A7" w14:textId="77777777" w:rsidR="00423156" w:rsidRDefault="00000000">
    <w:pPr>
      <w:jc w:val="center"/>
    </w:pPr>
    <w:r>
      <w:rPr>
        <w:color w:val="6B7280"/>
        <w:sz w:val="18"/>
        <w:szCs w:val="18"/>
      </w:rPr>
      <w:t xml:space="preserve">Confusion Matrix Analysis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044FCF">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70394" w14:textId="77777777" w:rsidR="007E6D7E" w:rsidRDefault="007E6D7E">
      <w:r>
        <w:separator/>
      </w:r>
    </w:p>
  </w:footnote>
  <w:footnote w:type="continuationSeparator" w:id="0">
    <w:p w14:paraId="75A9A54E" w14:textId="77777777" w:rsidR="007E6D7E" w:rsidRDefault="007E6D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A31A1"/>
    <w:multiLevelType w:val="hybridMultilevel"/>
    <w:tmpl w:val="46466B68"/>
    <w:lvl w:ilvl="0" w:tplc="E63E82E8">
      <w:start w:val="1"/>
      <w:numFmt w:val="bullet"/>
      <w:lvlText w:val="•"/>
      <w:lvlJc w:val="left"/>
      <w:pPr>
        <w:ind w:left="540" w:hanging="270"/>
      </w:pPr>
    </w:lvl>
    <w:lvl w:ilvl="1" w:tplc="6EA8863C">
      <w:numFmt w:val="decimal"/>
      <w:lvlText w:val=""/>
      <w:lvlJc w:val="left"/>
    </w:lvl>
    <w:lvl w:ilvl="2" w:tplc="26E0E35A">
      <w:numFmt w:val="decimal"/>
      <w:lvlText w:val=""/>
      <w:lvlJc w:val="left"/>
    </w:lvl>
    <w:lvl w:ilvl="3" w:tplc="8D64E080">
      <w:numFmt w:val="decimal"/>
      <w:lvlText w:val=""/>
      <w:lvlJc w:val="left"/>
    </w:lvl>
    <w:lvl w:ilvl="4" w:tplc="10A60234">
      <w:numFmt w:val="decimal"/>
      <w:lvlText w:val=""/>
      <w:lvlJc w:val="left"/>
    </w:lvl>
    <w:lvl w:ilvl="5" w:tplc="D0107C44">
      <w:numFmt w:val="decimal"/>
      <w:lvlText w:val=""/>
      <w:lvlJc w:val="left"/>
    </w:lvl>
    <w:lvl w:ilvl="6" w:tplc="DFCE6BD8">
      <w:numFmt w:val="decimal"/>
      <w:lvlText w:val=""/>
      <w:lvlJc w:val="left"/>
    </w:lvl>
    <w:lvl w:ilvl="7" w:tplc="B7BE64C6">
      <w:numFmt w:val="decimal"/>
      <w:lvlText w:val=""/>
      <w:lvlJc w:val="left"/>
    </w:lvl>
    <w:lvl w:ilvl="8" w:tplc="9690969E">
      <w:numFmt w:val="decimal"/>
      <w:lvlText w:val=""/>
      <w:lvlJc w:val="left"/>
    </w:lvl>
  </w:abstractNum>
  <w:abstractNum w:abstractNumId="1" w15:restartNumberingAfterBreak="0">
    <w:nsid w:val="7B1816A2"/>
    <w:multiLevelType w:val="hybridMultilevel"/>
    <w:tmpl w:val="1D06CF60"/>
    <w:lvl w:ilvl="0" w:tplc="313427F8">
      <w:start w:val="1"/>
      <w:numFmt w:val="bullet"/>
      <w:lvlText w:val="●"/>
      <w:lvlJc w:val="left"/>
      <w:pPr>
        <w:ind w:left="720" w:hanging="360"/>
      </w:pPr>
    </w:lvl>
    <w:lvl w:ilvl="1" w:tplc="D75429C2">
      <w:start w:val="1"/>
      <w:numFmt w:val="bullet"/>
      <w:lvlText w:val="○"/>
      <w:lvlJc w:val="left"/>
      <w:pPr>
        <w:ind w:left="1440" w:hanging="360"/>
      </w:pPr>
    </w:lvl>
    <w:lvl w:ilvl="2" w:tplc="3B0CC0C2">
      <w:start w:val="1"/>
      <w:numFmt w:val="bullet"/>
      <w:lvlText w:val="■"/>
      <w:lvlJc w:val="left"/>
      <w:pPr>
        <w:ind w:left="2160" w:hanging="360"/>
      </w:pPr>
    </w:lvl>
    <w:lvl w:ilvl="3" w:tplc="8BFE0CA8">
      <w:start w:val="1"/>
      <w:numFmt w:val="bullet"/>
      <w:lvlText w:val="●"/>
      <w:lvlJc w:val="left"/>
      <w:pPr>
        <w:ind w:left="2880" w:hanging="360"/>
      </w:pPr>
    </w:lvl>
    <w:lvl w:ilvl="4" w:tplc="D58A9224">
      <w:start w:val="1"/>
      <w:numFmt w:val="bullet"/>
      <w:lvlText w:val="○"/>
      <w:lvlJc w:val="left"/>
      <w:pPr>
        <w:ind w:left="3600" w:hanging="360"/>
      </w:pPr>
    </w:lvl>
    <w:lvl w:ilvl="5" w:tplc="DD0A613A">
      <w:start w:val="1"/>
      <w:numFmt w:val="bullet"/>
      <w:lvlText w:val="■"/>
      <w:lvlJc w:val="left"/>
      <w:pPr>
        <w:ind w:left="4320" w:hanging="360"/>
      </w:pPr>
    </w:lvl>
    <w:lvl w:ilvl="6" w:tplc="733C6174">
      <w:start w:val="1"/>
      <w:numFmt w:val="bullet"/>
      <w:lvlText w:val="●"/>
      <w:lvlJc w:val="left"/>
      <w:pPr>
        <w:ind w:left="5040" w:hanging="360"/>
      </w:pPr>
    </w:lvl>
    <w:lvl w:ilvl="7" w:tplc="33D865EC">
      <w:start w:val="1"/>
      <w:numFmt w:val="bullet"/>
      <w:lvlText w:val="●"/>
      <w:lvlJc w:val="left"/>
      <w:pPr>
        <w:ind w:left="5760" w:hanging="360"/>
      </w:pPr>
    </w:lvl>
    <w:lvl w:ilvl="8" w:tplc="73DC258E">
      <w:start w:val="1"/>
      <w:numFmt w:val="bullet"/>
      <w:lvlText w:val="●"/>
      <w:lvlJc w:val="left"/>
      <w:pPr>
        <w:ind w:left="6480" w:hanging="360"/>
      </w:pPr>
    </w:lvl>
  </w:abstractNum>
  <w:num w:numId="1" w16cid:durableId="628167634">
    <w:abstractNumId w:val="1"/>
    <w:lvlOverride w:ilvl="0">
      <w:startOverride w:val="1"/>
    </w:lvlOverride>
  </w:num>
  <w:num w:numId="2" w16cid:durableId="50349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156"/>
    <w:rsid w:val="00044FCF"/>
    <w:rsid w:val="00423156"/>
    <w:rsid w:val="007E6D7E"/>
    <w:rsid w:val="00CE7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80D82"/>
  <w15:docId w15:val="{EC6EF52F-CF32-4559-A634-ED0BBCB2A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4284B"/>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933</Words>
  <Characters>5324</Characters>
  <Application>Microsoft Office Word</Application>
  <DocSecurity>0</DocSecurity>
  <Lines>44</Lines>
  <Paragraphs>12</Paragraphs>
  <ScaleCrop>false</ScaleCrop>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hildegarde mukonyora</cp:lastModifiedBy>
  <cp:revision>2</cp:revision>
  <dcterms:created xsi:type="dcterms:W3CDTF">2026-10-13T19:27:00Z</dcterms:created>
  <dcterms:modified xsi:type="dcterms:W3CDTF">2026-10-13T19:27:00Z</dcterms:modified>
</cp:coreProperties>
</file>