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BC87B" w14:textId="77777777" w:rsidR="00C15AB5" w:rsidRDefault="00000000">
      <w:pPr>
        <w:pStyle w:val="Heading1"/>
      </w:pPr>
      <w:r>
        <w:t xml:space="preserve">Investor </w:t>
      </w:r>
      <w:proofErr w:type="spellStart"/>
      <w:r>
        <w:t>Behaviour</w:t>
      </w:r>
      <w:proofErr w:type="spellEnd"/>
      <w:r>
        <w:t xml:space="preserve"> Survey Summary</w:t>
      </w:r>
    </w:p>
    <w:p w14:paraId="28A6DF5E" w14:textId="77777777" w:rsidR="00C15AB5" w:rsidRDefault="00000000">
      <w:r>
        <w:t>Oct 16, 2026 · @Hilda</w:t>
      </w:r>
    </w:p>
    <w:p w14:paraId="24D3D3F8" w14:textId="77777777" w:rsidR="00C15AB5" w:rsidRDefault="00000000">
      <w:pPr>
        <w:pStyle w:val="Heading2"/>
      </w:pPr>
      <w:r>
        <w:t>1. Introduction</w:t>
      </w:r>
    </w:p>
    <w:p w14:paraId="6D779B1F" w14:textId="77777777" w:rsidR="00C15AB5" w:rsidRDefault="00000000">
      <w:r>
        <w:t>Forty respondents answered six questions on how they invest: preferred avenue, deciding factor, intended duration, expected return, monitoring frequency and main information source. The counts in each chart add up to 40.</w:t>
      </w:r>
    </w:p>
    <w:p w14:paraId="2086DFC9" w14:textId="77777777" w:rsidR="00C15AB5" w:rsidRDefault="00000000">
      <w:pPr>
        <w:pStyle w:val="Heading2"/>
      </w:pPr>
      <w:r>
        <w:t>2. Summary of leading responses</w:t>
      </w:r>
    </w:p>
    <w:p w14:paraId="7143EEAB" w14:textId="77777777" w:rsidR="00C15AB5" w:rsidRDefault="00000000">
      <w:r>
        <w:t>The typical respondent prefers mutual funds, puts returns first, plans to invest for one to five years, expects 20-30% returns, reviews investments monthly and relies on financial consultants.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074"/>
        <w:gridCol w:w="3213"/>
        <w:gridCol w:w="1958"/>
        <w:gridCol w:w="1113"/>
      </w:tblGrid>
      <w:tr w:rsidR="00C15AB5" w14:paraId="7214508C" w14:textId="77777777">
        <w:trPr>
          <w:tblHeader/>
        </w:trPr>
        <w:tc>
          <w:tcPr>
            <w:tcW w:w="3074" w:type="dxa"/>
            <w:shd w:val="clear" w:color="auto" w:fill="F2F2F2"/>
          </w:tcPr>
          <w:p w14:paraId="56280F5B" w14:textId="77777777" w:rsidR="00C15AB5" w:rsidRDefault="00000000">
            <w:r>
              <w:t>Question</w:t>
            </w:r>
          </w:p>
        </w:tc>
        <w:tc>
          <w:tcPr>
            <w:tcW w:w="3213" w:type="dxa"/>
            <w:shd w:val="clear" w:color="auto" w:fill="F2F2F2"/>
          </w:tcPr>
          <w:p w14:paraId="59E1EC00" w14:textId="77777777" w:rsidR="00C15AB5" w:rsidRDefault="00000000">
            <w:r>
              <w:t>Leading response</w:t>
            </w:r>
          </w:p>
        </w:tc>
        <w:tc>
          <w:tcPr>
            <w:tcW w:w="1958" w:type="dxa"/>
            <w:shd w:val="clear" w:color="auto" w:fill="F2F2F2"/>
          </w:tcPr>
          <w:p w14:paraId="4B27A2F3" w14:textId="77777777" w:rsidR="00C15AB5" w:rsidRDefault="00000000">
            <w:r>
              <w:t>Respondents</w:t>
            </w:r>
          </w:p>
        </w:tc>
        <w:tc>
          <w:tcPr>
            <w:tcW w:w="1113" w:type="dxa"/>
            <w:shd w:val="clear" w:color="auto" w:fill="F2F2F2"/>
          </w:tcPr>
          <w:p w14:paraId="4AA33425" w14:textId="77777777" w:rsidR="00C15AB5" w:rsidRDefault="00000000">
            <w:r>
              <w:t>Share</w:t>
            </w:r>
          </w:p>
        </w:tc>
      </w:tr>
      <w:tr w:rsidR="00C15AB5" w14:paraId="68F056DC" w14:textId="77777777">
        <w:tc>
          <w:tcPr>
            <w:tcW w:w="3074" w:type="dxa"/>
          </w:tcPr>
          <w:p w14:paraId="1062F449" w14:textId="77777777" w:rsidR="00C15AB5" w:rsidRDefault="00000000">
            <w:r>
              <w:t>Investment avenue</w:t>
            </w:r>
          </w:p>
        </w:tc>
        <w:tc>
          <w:tcPr>
            <w:tcW w:w="3213" w:type="dxa"/>
          </w:tcPr>
          <w:p w14:paraId="3F425DE0" w14:textId="77777777" w:rsidR="00C15AB5" w:rsidRDefault="00000000">
            <w:r>
              <w:t>Mutual Fund</w:t>
            </w:r>
          </w:p>
        </w:tc>
        <w:tc>
          <w:tcPr>
            <w:tcW w:w="1958" w:type="dxa"/>
          </w:tcPr>
          <w:p w14:paraId="70182D8B" w14:textId="77777777" w:rsidR="00C15AB5" w:rsidRDefault="00000000">
            <w:r>
              <w:t>18</w:t>
            </w:r>
          </w:p>
        </w:tc>
        <w:tc>
          <w:tcPr>
            <w:tcW w:w="1113" w:type="dxa"/>
          </w:tcPr>
          <w:p w14:paraId="6A981F29" w14:textId="77777777" w:rsidR="00C15AB5" w:rsidRDefault="00000000">
            <w:r>
              <w:t>45.0%</w:t>
            </w:r>
          </w:p>
        </w:tc>
      </w:tr>
      <w:tr w:rsidR="00C15AB5" w14:paraId="1E7C93AC" w14:textId="77777777">
        <w:tc>
          <w:tcPr>
            <w:tcW w:w="3074" w:type="dxa"/>
          </w:tcPr>
          <w:p w14:paraId="6741367F" w14:textId="77777777" w:rsidR="00C15AB5" w:rsidRDefault="00000000">
            <w:r>
              <w:t>Deciding factor</w:t>
            </w:r>
          </w:p>
        </w:tc>
        <w:tc>
          <w:tcPr>
            <w:tcW w:w="3213" w:type="dxa"/>
          </w:tcPr>
          <w:p w14:paraId="4BD49AA6" w14:textId="77777777" w:rsidR="00C15AB5" w:rsidRDefault="00000000">
            <w:r>
              <w:t>Returns</w:t>
            </w:r>
          </w:p>
        </w:tc>
        <w:tc>
          <w:tcPr>
            <w:tcW w:w="1958" w:type="dxa"/>
          </w:tcPr>
          <w:p w14:paraId="363DBD74" w14:textId="77777777" w:rsidR="00C15AB5" w:rsidRDefault="00000000">
            <w:r>
              <w:t>25</w:t>
            </w:r>
          </w:p>
        </w:tc>
        <w:tc>
          <w:tcPr>
            <w:tcW w:w="1113" w:type="dxa"/>
          </w:tcPr>
          <w:p w14:paraId="7999DB3C" w14:textId="77777777" w:rsidR="00C15AB5" w:rsidRDefault="00000000">
            <w:r>
              <w:t>62.5%</w:t>
            </w:r>
          </w:p>
        </w:tc>
      </w:tr>
      <w:tr w:rsidR="00C15AB5" w14:paraId="0FC3C0AE" w14:textId="77777777">
        <w:tc>
          <w:tcPr>
            <w:tcW w:w="3074" w:type="dxa"/>
          </w:tcPr>
          <w:p w14:paraId="2C39DF2A" w14:textId="77777777" w:rsidR="00C15AB5" w:rsidRDefault="00000000">
            <w:r>
              <w:t>Investment duration</w:t>
            </w:r>
          </w:p>
        </w:tc>
        <w:tc>
          <w:tcPr>
            <w:tcW w:w="3213" w:type="dxa"/>
          </w:tcPr>
          <w:p w14:paraId="43331225" w14:textId="77777777" w:rsidR="00C15AB5" w:rsidRDefault="00000000">
            <w:r>
              <w:t>3-5 years</w:t>
            </w:r>
          </w:p>
        </w:tc>
        <w:tc>
          <w:tcPr>
            <w:tcW w:w="1958" w:type="dxa"/>
          </w:tcPr>
          <w:p w14:paraId="194BDEA6" w14:textId="77777777" w:rsidR="00C15AB5" w:rsidRDefault="00000000">
            <w:r>
              <w:t>19</w:t>
            </w:r>
          </w:p>
        </w:tc>
        <w:tc>
          <w:tcPr>
            <w:tcW w:w="1113" w:type="dxa"/>
          </w:tcPr>
          <w:p w14:paraId="0EA94B8B" w14:textId="77777777" w:rsidR="00C15AB5" w:rsidRDefault="00000000">
            <w:r>
              <w:t>47.5%</w:t>
            </w:r>
          </w:p>
        </w:tc>
      </w:tr>
      <w:tr w:rsidR="00C15AB5" w14:paraId="706A1161" w14:textId="77777777">
        <w:tc>
          <w:tcPr>
            <w:tcW w:w="3074" w:type="dxa"/>
          </w:tcPr>
          <w:p w14:paraId="63C39AFE" w14:textId="77777777" w:rsidR="00C15AB5" w:rsidRDefault="00000000">
            <w:r>
              <w:t>Expected return</w:t>
            </w:r>
          </w:p>
        </w:tc>
        <w:tc>
          <w:tcPr>
            <w:tcW w:w="3213" w:type="dxa"/>
          </w:tcPr>
          <w:p w14:paraId="621DDC8F" w14:textId="77777777" w:rsidR="00C15AB5" w:rsidRDefault="00000000">
            <w:r>
              <w:t>20%-30%</w:t>
            </w:r>
          </w:p>
        </w:tc>
        <w:tc>
          <w:tcPr>
            <w:tcW w:w="1958" w:type="dxa"/>
          </w:tcPr>
          <w:p w14:paraId="2EA3556F" w14:textId="77777777" w:rsidR="00C15AB5" w:rsidRDefault="00000000">
            <w:r>
              <w:t>32</w:t>
            </w:r>
          </w:p>
        </w:tc>
        <w:tc>
          <w:tcPr>
            <w:tcW w:w="1113" w:type="dxa"/>
          </w:tcPr>
          <w:p w14:paraId="4B1143FD" w14:textId="77777777" w:rsidR="00C15AB5" w:rsidRDefault="00000000">
            <w:r>
              <w:t>80.0%</w:t>
            </w:r>
          </w:p>
        </w:tc>
      </w:tr>
      <w:tr w:rsidR="00C15AB5" w14:paraId="73195DA6" w14:textId="77777777">
        <w:tc>
          <w:tcPr>
            <w:tcW w:w="3074" w:type="dxa"/>
          </w:tcPr>
          <w:p w14:paraId="3029B997" w14:textId="77777777" w:rsidR="00C15AB5" w:rsidRDefault="00000000">
            <w:r>
              <w:t>Monitoring frequency</w:t>
            </w:r>
          </w:p>
        </w:tc>
        <w:tc>
          <w:tcPr>
            <w:tcW w:w="3213" w:type="dxa"/>
          </w:tcPr>
          <w:p w14:paraId="4BC1995E" w14:textId="77777777" w:rsidR="00C15AB5" w:rsidRDefault="00000000">
            <w:r>
              <w:t>Monthly</w:t>
            </w:r>
          </w:p>
        </w:tc>
        <w:tc>
          <w:tcPr>
            <w:tcW w:w="1958" w:type="dxa"/>
          </w:tcPr>
          <w:p w14:paraId="5D2577E0" w14:textId="77777777" w:rsidR="00C15AB5" w:rsidRDefault="00000000">
            <w:r>
              <w:t>29</w:t>
            </w:r>
          </w:p>
        </w:tc>
        <w:tc>
          <w:tcPr>
            <w:tcW w:w="1113" w:type="dxa"/>
          </w:tcPr>
          <w:p w14:paraId="0174A638" w14:textId="77777777" w:rsidR="00C15AB5" w:rsidRDefault="00000000">
            <w:r>
              <w:t>72.5%</w:t>
            </w:r>
          </w:p>
        </w:tc>
      </w:tr>
      <w:tr w:rsidR="00C15AB5" w14:paraId="450B830C" w14:textId="77777777">
        <w:tc>
          <w:tcPr>
            <w:tcW w:w="3074" w:type="dxa"/>
          </w:tcPr>
          <w:p w14:paraId="2F2AA90F" w14:textId="77777777" w:rsidR="00C15AB5" w:rsidRDefault="00000000">
            <w:r>
              <w:t>Information source</w:t>
            </w:r>
          </w:p>
        </w:tc>
        <w:tc>
          <w:tcPr>
            <w:tcW w:w="3213" w:type="dxa"/>
          </w:tcPr>
          <w:p w14:paraId="12A47E4B" w14:textId="77777777" w:rsidR="00C15AB5" w:rsidRDefault="00000000">
            <w:r>
              <w:t>Financial Consultants</w:t>
            </w:r>
          </w:p>
        </w:tc>
        <w:tc>
          <w:tcPr>
            <w:tcW w:w="1958" w:type="dxa"/>
          </w:tcPr>
          <w:p w14:paraId="4B8DAE8E" w14:textId="77777777" w:rsidR="00C15AB5" w:rsidRDefault="00000000">
            <w:r>
              <w:t>16</w:t>
            </w:r>
          </w:p>
        </w:tc>
        <w:tc>
          <w:tcPr>
            <w:tcW w:w="1113" w:type="dxa"/>
          </w:tcPr>
          <w:p w14:paraId="156E56FA" w14:textId="77777777" w:rsidR="00C15AB5" w:rsidRDefault="00000000">
            <w:r>
              <w:t>40.0%</w:t>
            </w:r>
          </w:p>
        </w:tc>
      </w:tr>
    </w:tbl>
    <w:p w14:paraId="65AF2F1C" w14:textId="77777777" w:rsidR="00C15AB5" w:rsidRDefault="00000000">
      <w:pPr>
        <w:pStyle w:val="Heading2"/>
      </w:pPr>
      <w:r>
        <w:t>3. Detailed findings</w:t>
      </w:r>
    </w:p>
    <w:p w14:paraId="0CAF3784" w14:textId="77777777" w:rsidR="00C15AB5" w:rsidRDefault="00000000">
      <w:r>
        <w:t>Market-linked avenues, returns and medium-term horizons stand out in every chart.</w:t>
      </w:r>
    </w:p>
    <w:p w14:paraId="38F17D79" w14:textId="77777777" w:rsidR="00C15AB5" w:rsidRDefault="00000000">
      <w:pPr>
        <w:pStyle w:val="ListParagraph"/>
        <w:numPr>
          <w:ilvl w:val="0"/>
          <w:numId w:val="2"/>
        </w:numPr>
      </w:pPr>
      <w:r>
        <w:rPr>
          <w:b/>
        </w:rPr>
        <w:t>Avenue:</w:t>
      </w:r>
      <w:r>
        <w:t xml:space="preserve"> Mutual Funds lead (18, 45.0%), then Equity (10, 25.0%), Fixed Deposits (9, 22.5%) and the Public Provident Fund (3, 7.5%). Market-linked avenues account for 28 of 40 respondents (70.0%).</w:t>
      </w:r>
    </w:p>
    <w:p w14:paraId="23675F7A" w14:textId="77777777" w:rsidR="00C15AB5" w:rsidRDefault="00000000">
      <w:pPr>
        <w:pStyle w:val="ListParagraph"/>
        <w:numPr>
          <w:ilvl w:val="0"/>
          <w:numId w:val="2"/>
        </w:numPr>
      </w:pPr>
      <w:r>
        <w:rPr>
          <w:b/>
        </w:rPr>
        <w:t>Factor:</w:t>
      </w:r>
      <w:r>
        <w:t xml:space="preserve"> Returns come first for 25 respondents (62.5%) and risk for 14 (35.0%). Only 1 respondent (2.5%) puts the locking period first.</w:t>
      </w:r>
    </w:p>
    <w:p w14:paraId="4FC6A0F6" w14:textId="77777777" w:rsidR="00C15AB5" w:rsidRDefault="00000000">
      <w:pPr>
        <w:pStyle w:val="ListParagraph"/>
        <w:numPr>
          <w:ilvl w:val="0"/>
          <w:numId w:val="2"/>
        </w:numPr>
      </w:pPr>
      <w:r>
        <w:rPr>
          <w:b/>
        </w:rPr>
        <w:t>Duration:</w:t>
      </w:r>
      <w:r>
        <w:t xml:space="preserve"> 3-5 years (19) and 1-3 years (18) together account for 37 of 40 respondents (92.5%). Only 2 invest for under a year and 1 for over five years.</w:t>
      </w:r>
    </w:p>
    <w:p w14:paraId="1219EED0" w14:textId="77777777" w:rsidR="00C15AB5" w:rsidRDefault="00000000">
      <w:pPr>
        <w:pStyle w:val="ListParagraph"/>
        <w:numPr>
          <w:ilvl w:val="0"/>
          <w:numId w:val="2"/>
        </w:numPr>
      </w:pPr>
      <w:r>
        <w:rPr>
          <w:b/>
        </w:rPr>
        <w:t>Expected return:</w:t>
      </w:r>
      <w:r>
        <w:t xml:space="preserve"> 32 respondents (80.0%) expect 20%-30%, 5 (12.5%) expect 30%-40% and 3 (7.5%) expect 10%-20%. In total, 92.5% expect 20% or more.</w:t>
      </w:r>
    </w:p>
    <w:p w14:paraId="07EB5531" w14:textId="77777777" w:rsidR="00C15AB5" w:rsidRDefault="00000000">
      <w:pPr>
        <w:pStyle w:val="ListParagraph"/>
        <w:numPr>
          <w:ilvl w:val="0"/>
          <w:numId w:val="2"/>
        </w:numPr>
      </w:pPr>
      <w:r>
        <w:rPr>
          <w:b/>
        </w:rPr>
        <w:t>Monitoring:</w:t>
      </w:r>
      <w:r>
        <w:t xml:space="preserve"> Monthly for 29 respondents (72.5%), weekly for 7 (17.5%) and daily for 4 (10.0%). No one checks less often than monthly.</w:t>
      </w:r>
    </w:p>
    <w:p w14:paraId="6A2FF20B" w14:textId="77777777" w:rsidR="00C15AB5" w:rsidRDefault="00000000">
      <w:pPr>
        <w:pStyle w:val="ListParagraph"/>
        <w:numPr>
          <w:ilvl w:val="0"/>
          <w:numId w:val="2"/>
        </w:numPr>
      </w:pPr>
      <w:r>
        <w:rPr>
          <w:b/>
        </w:rPr>
        <w:t>Source:</w:t>
      </w:r>
      <w:r>
        <w:t xml:space="preserve"> Financial consultants (16, 40.0%) and newspapers and magazines (14, 35.0%) lead. Television (6) and the internet (4) trail, and the internet is the main source for only 10.0%.</w:t>
      </w:r>
    </w:p>
    <w:p w14:paraId="4C658782" w14:textId="77777777" w:rsidR="00C15AB5" w:rsidRDefault="00000000">
      <w:pPr>
        <w:pStyle w:val="Heading2"/>
      </w:pPr>
      <w:r>
        <w:lastRenderedPageBreak/>
        <w:t>4. Discussion</w:t>
      </w:r>
    </w:p>
    <w:p w14:paraId="6E0C5533" w14:textId="77777777" w:rsidR="00C15AB5" w:rsidRDefault="00000000">
      <w:r>
        <w:t>The group looks like return-seeking, medium-term investors who prefer market-linked products.</w:t>
      </w:r>
    </w:p>
    <w:p w14:paraId="6A2D7099" w14:textId="77777777" w:rsidR="00C15AB5" w:rsidRDefault="00000000">
      <w:pPr>
        <w:pStyle w:val="ListParagraph"/>
        <w:numPr>
          <w:ilvl w:val="0"/>
          <w:numId w:val="3"/>
        </w:numPr>
      </w:pPr>
      <w:r>
        <w:t>Expectations may be optimistic. More than nine in ten expect at least 20%, yet 30.0% prefer Fixed Deposits or the Public Provident Fund, which typically offer lower, fixed returns. The charts don't say whether the figures are annual, so check the question wording.</w:t>
      </w:r>
    </w:p>
    <w:p w14:paraId="6C458D26" w14:textId="77777777" w:rsidR="00C15AB5" w:rsidRDefault="00000000">
      <w:pPr>
        <w:pStyle w:val="ListParagraph"/>
        <w:numPr>
          <w:ilvl w:val="0"/>
          <w:numId w:val="3"/>
        </w:numPr>
      </w:pPr>
      <w:r>
        <w:t>Risk still matters, since 35.0% name it as the deciding factor.</w:t>
      </w:r>
    </w:p>
    <w:p w14:paraId="4344D667" w14:textId="77777777" w:rsidR="00C15AB5" w:rsidRDefault="00000000">
      <w:pPr>
        <w:pStyle w:val="ListParagraph"/>
        <w:numPr>
          <w:ilvl w:val="0"/>
          <w:numId w:val="3"/>
        </w:numPr>
      </w:pPr>
      <w:r>
        <w:t>The locking period is rarely decisive. The Public Provident Fund, with its long lock-in, is the least popular avenue, but the data can't confirm lock-in is the reason.</w:t>
      </w:r>
    </w:p>
    <w:p w14:paraId="42E200F7" w14:textId="77777777" w:rsidR="00C15AB5" w:rsidRDefault="00000000">
      <w:pPr>
        <w:pStyle w:val="ListParagraph"/>
        <w:numPr>
          <w:ilvl w:val="0"/>
          <w:numId w:val="3"/>
        </w:numPr>
      </w:pPr>
      <w:r>
        <w:t>Digital channels appear under-used as a source of investment information.</w:t>
      </w:r>
    </w:p>
    <w:p w14:paraId="734BCB82" w14:textId="77777777" w:rsidR="00C15AB5" w:rsidRDefault="00000000">
      <w:pPr>
        <w:pStyle w:val="Heading2"/>
      </w:pPr>
      <w:r>
        <w:t>5. Limitations</w:t>
      </w:r>
    </w:p>
    <w:p w14:paraId="3DCB3AE1" w14:textId="77777777" w:rsidR="00C15AB5" w:rsidRDefault="00000000">
      <w:r>
        <w:t>The results describe 40 people and are indicative rather than conclusive.</w:t>
      </w:r>
    </w:p>
    <w:p w14:paraId="389E9EEF" w14:textId="77777777" w:rsidR="00C15AB5" w:rsidRDefault="00000000">
      <w:pPr>
        <w:pStyle w:val="ListParagraph"/>
        <w:numPr>
          <w:ilvl w:val="0"/>
          <w:numId w:val="4"/>
        </w:numPr>
      </w:pPr>
      <w:r>
        <w:t>With 40 respondents, one person moves a percentage by 2.5 points, and the results may not represent a wider population.</w:t>
      </w:r>
    </w:p>
    <w:p w14:paraId="3843FE75" w14:textId="77777777" w:rsidR="00C15AB5" w:rsidRDefault="00000000">
      <w:pPr>
        <w:pStyle w:val="ListParagraph"/>
        <w:numPr>
          <w:ilvl w:val="0"/>
          <w:numId w:val="4"/>
        </w:numPr>
      </w:pPr>
      <w:r>
        <w:t>The charts show single counts, with no cross-tabulations.</w:t>
      </w:r>
    </w:p>
    <w:p w14:paraId="23859ADC" w14:textId="77777777" w:rsidR="00C15AB5" w:rsidRDefault="00000000">
      <w:pPr>
        <w:pStyle w:val="ListParagraph"/>
        <w:numPr>
          <w:ilvl w:val="0"/>
          <w:numId w:val="4"/>
        </w:numPr>
      </w:pPr>
      <w:r>
        <w:t>Question wording and the basis of the figures are not shown.</w:t>
      </w:r>
    </w:p>
    <w:p w14:paraId="5792A0EB" w14:textId="77777777" w:rsidR="00C15AB5" w:rsidRDefault="00000000">
      <w:pPr>
        <w:pStyle w:val="Heading2"/>
      </w:pPr>
      <w:r>
        <w:t>6. Conclusions and recommendations</w:t>
      </w:r>
    </w:p>
    <w:p w14:paraId="2F343DA6" w14:textId="77777777" w:rsidR="00C15AB5" w:rsidRDefault="00000000">
      <w:r>
        <w:t>The findings point to six actions for anyone designing products, advice or communication for this group.</w:t>
      </w:r>
    </w:p>
    <w:p w14:paraId="022DE0D3" w14:textId="77777777" w:rsidR="00C15AB5" w:rsidRDefault="00000000">
      <w:pPr>
        <w:pStyle w:val="ListParagraph"/>
        <w:numPr>
          <w:ilvl w:val="0"/>
          <w:numId w:val="5"/>
        </w:numPr>
      </w:pPr>
      <w:r>
        <w:t>Lead with Mutual Fund and Equity offerings, while keeping a fixed-return option for the 30.0% who prefer one.</w:t>
      </w:r>
    </w:p>
    <w:p w14:paraId="3516B820" w14:textId="77777777" w:rsidR="00C15AB5" w:rsidRDefault="00000000">
      <w:pPr>
        <w:pStyle w:val="ListParagraph"/>
        <w:numPr>
          <w:ilvl w:val="0"/>
          <w:numId w:val="5"/>
        </w:numPr>
      </w:pPr>
      <w:r>
        <w:t>Set realistic return expectations and present risk alongside returns.</w:t>
      </w:r>
    </w:p>
    <w:p w14:paraId="43A26351" w14:textId="77777777" w:rsidR="00C15AB5" w:rsidRDefault="00000000">
      <w:pPr>
        <w:pStyle w:val="ListParagraph"/>
        <w:numPr>
          <w:ilvl w:val="0"/>
          <w:numId w:val="5"/>
        </w:numPr>
      </w:pPr>
      <w:r>
        <w:t>Focus on medium-term (1-5 year) products, which suit 92.5% of respondents.</w:t>
      </w:r>
    </w:p>
    <w:p w14:paraId="47C8F40A" w14:textId="77777777" w:rsidR="00C15AB5" w:rsidRDefault="00000000">
      <w:pPr>
        <w:pStyle w:val="ListParagraph"/>
        <w:numPr>
          <w:ilvl w:val="0"/>
          <w:numId w:val="5"/>
        </w:numPr>
      </w:pPr>
      <w:r>
        <w:t>Use financial consultants and print media as the main channels, and build a stronger digital presence.</w:t>
      </w:r>
    </w:p>
    <w:p w14:paraId="034706C4" w14:textId="77777777" w:rsidR="00C15AB5" w:rsidRDefault="00000000">
      <w:pPr>
        <w:pStyle w:val="ListParagraph"/>
        <w:numPr>
          <w:ilvl w:val="0"/>
          <w:numId w:val="5"/>
        </w:numPr>
      </w:pPr>
      <w:r>
        <w:t>Provide monthly performance updates, matching how 72.5% of respondents review their investments.</w:t>
      </w:r>
    </w:p>
    <w:p w14:paraId="56DB4C97" w14:textId="77777777" w:rsidR="00C15AB5" w:rsidRDefault="00000000">
      <w:pPr>
        <w:pStyle w:val="ListParagraph"/>
        <w:numPr>
          <w:ilvl w:val="0"/>
          <w:numId w:val="5"/>
        </w:numPr>
      </w:pPr>
      <w:r>
        <w:t>Extend the analysis with cross-tabulations and a larger sample.</w:t>
      </w:r>
    </w:p>
    <w:sectPr w:rsidR="00C15A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F7293"/>
    <w:multiLevelType w:val="hybridMultilevel"/>
    <w:tmpl w:val="609216A8"/>
    <w:lvl w:ilvl="0" w:tplc="A244B288">
      <w:start w:val="1"/>
      <w:numFmt w:val="decimal"/>
      <w:lvlText w:val="%1."/>
      <w:lvlJc w:val="left"/>
      <w:pPr>
        <w:ind w:left="720" w:hanging="360"/>
      </w:pPr>
    </w:lvl>
    <w:lvl w:ilvl="1" w:tplc="928EE5B8">
      <w:start w:val="1"/>
      <w:numFmt w:val="lowerLetter"/>
      <w:lvlText w:val="%2."/>
      <w:lvlJc w:val="left"/>
      <w:pPr>
        <w:ind w:left="1440" w:hanging="360"/>
      </w:pPr>
    </w:lvl>
    <w:lvl w:ilvl="2" w:tplc="6520E272">
      <w:start w:val="1"/>
      <w:numFmt w:val="lowerRoman"/>
      <w:lvlText w:val="%3."/>
      <w:lvlJc w:val="left"/>
      <w:pPr>
        <w:ind w:left="2160" w:hanging="360"/>
      </w:pPr>
    </w:lvl>
    <w:lvl w:ilvl="3" w:tplc="EAA09148">
      <w:start w:val="1"/>
      <w:numFmt w:val="decimal"/>
      <w:lvlText w:val="%4."/>
      <w:lvlJc w:val="left"/>
      <w:pPr>
        <w:ind w:left="2880" w:hanging="360"/>
      </w:pPr>
    </w:lvl>
    <w:lvl w:ilvl="4" w:tplc="DAAA276A">
      <w:start w:val="1"/>
      <w:numFmt w:val="lowerLetter"/>
      <w:lvlText w:val="%5."/>
      <w:lvlJc w:val="left"/>
      <w:pPr>
        <w:ind w:left="3600" w:hanging="360"/>
      </w:pPr>
    </w:lvl>
    <w:lvl w:ilvl="5" w:tplc="6ED4291C">
      <w:start w:val="1"/>
      <w:numFmt w:val="lowerRoman"/>
      <w:lvlText w:val="%6."/>
      <w:lvlJc w:val="left"/>
      <w:pPr>
        <w:ind w:left="4320" w:hanging="360"/>
      </w:pPr>
    </w:lvl>
    <w:lvl w:ilvl="6" w:tplc="7EEA797A">
      <w:start w:val="1"/>
      <w:numFmt w:val="decimal"/>
      <w:lvlText w:val="%7."/>
      <w:lvlJc w:val="left"/>
      <w:pPr>
        <w:ind w:left="5040" w:hanging="360"/>
      </w:pPr>
    </w:lvl>
    <w:lvl w:ilvl="7" w:tplc="E2B618E2">
      <w:start w:val="1"/>
      <w:numFmt w:val="lowerLetter"/>
      <w:lvlText w:val="%8."/>
      <w:lvlJc w:val="left"/>
      <w:pPr>
        <w:ind w:left="5760" w:hanging="360"/>
      </w:pPr>
    </w:lvl>
    <w:lvl w:ilvl="8" w:tplc="0EF64D2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F5F10D8"/>
    <w:multiLevelType w:val="hybridMultilevel"/>
    <w:tmpl w:val="1898C262"/>
    <w:lvl w:ilvl="0" w:tplc="A69C46DC">
      <w:start w:val="1"/>
      <w:numFmt w:val="bullet"/>
      <w:lvlText w:val="•"/>
      <w:lvlJc w:val="left"/>
      <w:pPr>
        <w:ind w:left="720" w:hanging="360"/>
      </w:pPr>
    </w:lvl>
    <w:lvl w:ilvl="1" w:tplc="C420B940">
      <w:start w:val="1"/>
      <w:numFmt w:val="bullet"/>
      <w:lvlText w:val="o"/>
      <w:lvlJc w:val="left"/>
      <w:pPr>
        <w:ind w:left="1440" w:hanging="360"/>
      </w:pPr>
    </w:lvl>
    <w:lvl w:ilvl="2" w:tplc="5848524A">
      <w:start w:val="1"/>
      <w:numFmt w:val="bullet"/>
      <w:lvlText w:val="▪"/>
      <w:lvlJc w:val="left"/>
      <w:pPr>
        <w:ind w:left="2160" w:hanging="360"/>
      </w:pPr>
    </w:lvl>
    <w:lvl w:ilvl="3" w:tplc="6C86BBFC">
      <w:start w:val="1"/>
      <w:numFmt w:val="bullet"/>
      <w:lvlText w:val="•"/>
      <w:lvlJc w:val="left"/>
      <w:pPr>
        <w:ind w:left="2880" w:hanging="360"/>
      </w:pPr>
    </w:lvl>
    <w:lvl w:ilvl="4" w:tplc="34D8C4F2">
      <w:start w:val="1"/>
      <w:numFmt w:val="bullet"/>
      <w:lvlText w:val="o"/>
      <w:lvlJc w:val="left"/>
      <w:pPr>
        <w:ind w:left="3600" w:hanging="360"/>
      </w:pPr>
    </w:lvl>
    <w:lvl w:ilvl="5" w:tplc="220A39BE">
      <w:start w:val="1"/>
      <w:numFmt w:val="bullet"/>
      <w:lvlText w:val="▪"/>
      <w:lvlJc w:val="left"/>
      <w:pPr>
        <w:ind w:left="4320" w:hanging="360"/>
      </w:pPr>
    </w:lvl>
    <w:lvl w:ilvl="6" w:tplc="AA0AC38A">
      <w:start w:val="1"/>
      <w:numFmt w:val="bullet"/>
      <w:lvlText w:val="•"/>
      <w:lvlJc w:val="left"/>
      <w:pPr>
        <w:ind w:left="5040" w:hanging="360"/>
      </w:pPr>
    </w:lvl>
    <w:lvl w:ilvl="7" w:tplc="3F9A6108">
      <w:start w:val="1"/>
      <w:numFmt w:val="bullet"/>
      <w:lvlText w:val="o"/>
      <w:lvlJc w:val="left"/>
      <w:pPr>
        <w:ind w:left="5760" w:hanging="360"/>
      </w:pPr>
    </w:lvl>
    <w:lvl w:ilvl="8" w:tplc="C50E415A">
      <w:start w:val="1"/>
      <w:numFmt w:val="bullet"/>
      <w:lvlText w:val="▪"/>
      <w:lvlJc w:val="left"/>
      <w:pPr>
        <w:ind w:left="6480" w:hanging="360"/>
      </w:pPr>
    </w:lvl>
  </w:abstractNum>
  <w:num w:numId="1" w16cid:durableId="302128348">
    <w:abstractNumId w:val="1"/>
  </w:num>
  <w:num w:numId="2" w16cid:durableId="1866942216">
    <w:abstractNumId w:val="1"/>
  </w:num>
  <w:num w:numId="3" w16cid:durableId="2143451879">
    <w:abstractNumId w:val="1"/>
  </w:num>
  <w:num w:numId="4" w16cid:durableId="1905099">
    <w:abstractNumId w:val="1"/>
  </w:num>
  <w:num w:numId="5" w16cid:durableId="1254822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AB5"/>
    <w:rsid w:val="005A7708"/>
    <w:rsid w:val="00C15AB5"/>
    <w:rsid w:val="00FD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55813"/>
  <w15:docId w15:val="{DBBABD55-2DC1-4446-B844-A1AE92E5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Investor Behaviour Survey Summary</dc:title>
  <dc:creator>hello</dc:creator>
  <dc:description>Claude Docs node/79ba137c-d9a5@5 docx-w7</dc:description>
  <cp:lastModifiedBy>hildegarde mukonyora</cp:lastModifiedBy>
  <cp:revision>2</cp:revision>
  <dcterms:created xsi:type="dcterms:W3CDTF">2026-10-16T18:42:00Z</dcterms:created>
  <dcterms:modified xsi:type="dcterms:W3CDTF">2026-10-16T18:42:00Z</dcterms:modified>
</cp:coreProperties>
</file>