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A770" w14:textId="77777777" w:rsidR="00167E7F" w:rsidRDefault="00000000">
      <w:pPr>
        <w:pStyle w:val="Heading1"/>
      </w:pPr>
      <w:r>
        <w:t>Investor Survey Analysis Summary</w:t>
      </w:r>
    </w:p>
    <w:p w14:paraId="6CB24FC6" w14:textId="77777777" w:rsidR="00167E7F" w:rsidRDefault="00000000">
      <w:r>
        <w:t>Oct 16, 2026 · @Hilda</w:t>
      </w:r>
    </w:p>
    <w:p w14:paraId="0FAB41D7" w14:textId="77777777" w:rsidR="00167E7F" w:rsidRDefault="00000000">
      <w:pPr>
        <w:pStyle w:val="Heading2"/>
      </w:pPr>
      <w:r>
        <w:t>1. Who responded</w:t>
      </w:r>
    </w:p>
    <w:p w14:paraId="38097F97" w14:textId="77777777" w:rsidR="00167E7F" w:rsidRDefault="00000000">
      <w:r>
        <w:t>The 40 respondents are aged 20 to 36, and 62.5% are men.</w:t>
      </w:r>
    </w:p>
    <w:p w14:paraId="5F709D51" w14:textId="77777777" w:rsidR="00167E7F" w:rsidRDefault="00000000">
      <w:pPr>
        <w:pStyle w:val="ListParagraph"/>
        <w:numPr>
          <w:ilvl w:val="0"/>
          <w:numId w:val="2"/>
        </w:numPr>
      </w:pPr>
      <w:r>
        <w:t>Most fall in the 26-28 age band (11 respondents, or 27.5%), and the 24-32 range covers 31 of 40.</w:t>
      </w:r>
    </w:p>
    <w:p w14:paraId="7E5027FB" w14:textId="77777777" w:rsidR="00167E7F" w:rsidRDefault="00000000">
      <w:pPr>
        <w:pStyle w:val="ListParagraph"/>
        <w:numPr>
          <w:ilvl w:val="0"/>
          <w:numId w:val="2"/>
        </w:numPr>
      </w:pPr>
      <w:r>
        <w:t>25 respondents are men (62.5%) and 15 are women (37.5%).</w:t>
      </w:r>
    </w:p>
    <w:p w14:paraId="641AB62D" w14:textId="77777777" w:rsidR="00167E7F" w:rsidRDefault="00000000">
      <w:pPr>
        <w:pStyle w:val="Heading2"/>
      </w:pPr>
      <w:r>
        <w:t>2. What respondents say</w:t>
      </w:r>
    </w:p>
    <w:p w14:paraId="6FCBCF0F" w14:textId="77777777" w:rsidR="00167E7F" w:rsidRDefault="00000000">
      <w:r>
        <w:t>Mutual Funds lead the stated choice, returns come first, and most respondents plan to invest for one to five years.</w:t>
      </w:r>
    </w:p>
    <w:p w14:paraId="78D3762C" w14:textId="77777777" w:rsidR="00167E7F" w:rsidRDefault="00000000">
      <w:pPr>
        <w:pStyle w:val="ListParagraph"/>
        <w:numPr>
          <w:ilvl w:val="0"/>
          <w:numId w:val="3"/>
        </w:numPr>
      </w:pPr>
      <w:r>
        <w:rPr>
          <w:b/>
        </w:rPr>
        <w:t>Avenue:</w:t>
      </w:r>
      <w:r>
        <w:t xml:space="preserve"> Mutual Funds lead (18, or 45.0%), followed by Equity (10), Fixed Deposits (9) and the Public Provident Fund (3).</w:t>
      </w:r>
    </w:p>
    <w:p w14:paraId="63695C69" w14:textId="77777777" w:rsidR="00167E7F" w:rsidRDefault="00000000">
      <w:pPr>
        <w:pStyle w:val="ListParagraph"/>
        <w:numPr>
          <w:ilvl w:val="0"/>
          <w:numId w:val="3"/>
        </w:numPr>
      </w:pPr>
      <w:r>
        <w:rPr>
          <w:b/>
        </w:rPr>
        <w:t>Deciding factor:</w:t>
      </w:r>
      <w:r>
        <w:t xml:space="preserve"> returns for 62.5% and risk for 35.0%.</w:t>
      </w:r>
    </w:p>
    <w:p w14:paraId="5C0B0DAC" w14:textId="77777777" w:rsidR="00167E7F" w:rsidRDefault="00000000">
      <w:pPr>
        <w:pStyle w:val="ListParagraph"/>
        <w:numPr>
          <w:ilvl w:val="0"/>
          <w:numId w:val="3"/>
        </w:numPr>
      </w:pPr>
      <w:r>
        <w:rPr>
          <w:b/>
        </w:rPr>
        <w:t>Horizon:</w:t>
      </w:r>
      <w:r>
        <w:t xml:space="preserve"> 92.5% plan to invest for 1-5 years.</w:t>
      </w:r>
    </w:p>
    <w:p w14:paraId="2F185E0C" w14:textId="77777777" w:rsidR="00167E7F" w:rsidRDefault="00000000">
      <w:pPr>
        <w:pStyle w:val="ListParagraph"/>
        <w:numPr>
          <w:ilvl w:val="0"/>
          <w:numId w:val="3"/>
        </w:numPr>
      </w:pPr>
      <w:r>
        <w:rPr>
          <w:b/>
        </w:rPr>
        <w:t>Expected return:</w:t>
      </w:r>
      <w:r>
        <w:t xml:space="preserve"> 92.5% expect 20% or more.</w:t>
      </w:r>
    </w:p>
    <w:p w14:paraId="54DCAEAD" w14:textId="77777777" w:rsidR="00167E7F" w:rsidRDefault="00000000">
      <w:pPr>
        <w:pStyle w:val="ListParagraph"/>
        <w:numPr>
          <w:ilvl w:val="0"/>
          <w:numId w:val="3"/>
        </w:numPr>
      </w:pPr>
      <w:r>
        <w:rPr>
          <w:b/>
        </w:rPr>
        <w:t>Monitoring:</w:t>
      </w:r>
      <w:r>
        <w:t xml:space="preserve"> 72.5% check monthly, and no one checks less often.</w:t>
      </w:r>
    </w:p>
    <w:p w14:paraId="31260528" w14:textId="77777777" w:rsidR="00167E7F" w:rsidRDefault="00000000">
      <w:pPr>
        <w:pStyle w:val="ListParagraph"/>
        <w:numPr>
          <w:ilvl w:val="0"/>
          <w:numId w:val="3"/>
        </w:numPr>
      </w:pPr>
      <w:r>
        <w:rPr>
          <w:b/>
        </w:rPr>
        <w:t>Information source:</w:t>
      </w:r>
      <w:r>
        <w:t xml:space="preserve"> financial consultants (40.0%) and newspapers and magazines (35.0%) lead, and the internet is the main source for only 10.0%.</w:t>
      </w:r>
    </w:p>
    <w:p w14:paraId="1AA08F00" w14:textId="77777777" w:rsidR="00167E7F" w:rsidRDefault="00000000">
      <w:r>
        <w:rPr>
          <w:b/>
        </w:rPr>
        <w:t>Preferred avenue by gender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733"/>
        <w:gridCol w:w="1845"/>
        <w:gridCol w:w="1326"/>
        <w:gridCol w:w="1455"/>
      </w:tblGrid>
      <w:tr w:rsidR="00167E7F" w14:paraId="317086E3" w14:textId="77777777">
        <w:trPr>
          <w:tblHeader/>
        </w:trPr>
        <w:tc>
          <w:tcPr>
            <w:tcW w:w="4733" w:type="dxa"/>
            <w:shd w:val="clear" w:color="auto" w:fill="F2F2F2"/>
          </w:tcPr>
          <w:p w14:paraId="1C9AA0B5" w14:textId="77777777" w:rsidR="00167E7F" w:rsidRDefault="00000000">
            <w:r>
              <w:t>Avenue</w:t>
            </w:r>
          </w:p>
        </w:tc>
        <w:tc>
          <w:tcPr>
            <w:tcW w:w="1845" w:type="dxa"/>
            <w:shd w:val="clear" w:color="auto" w:fill="F2F2F2"/>
          </w:tcPr>
          <w:p w14:paraId="731411F3" w14:textId="77777777" w:rsidR="00167E7F" w:rsidRDefault="00000000">
            <w:r>
              <w:t>Women</w:t>
            </w:r>
          </w:p>
        </w:tc>
        <w:tc>
          <w:tcPr>
            <w:tcW w:w="1326" w:type="dxa"/>
            <w:shd w:val="clear" w:color="auto" w:fill="F2F2F2"/>
          </w:tcPr>
          <w:p w14:paraId="64017B14" w14:textId="77777777" w:rsidR="00167E7F" w:rsidRDefault="00000000">
            <w:r>
              <w:t>Men</w:t>
            </w:r>
          </w:p>
        </w:tc>
        <w:tc>
          <w:tcPr>
            <w:tcW w:w="1455" w:type="dxa"/>
            <w:shd w:val="clear" w:color="auto" w:fill="F2F2F2"/>
          </w:tcPr>
          <w:p w14:paraId="27DBAC5F" w14:textId="77777777" w:rsidR="00167E7F" w:rsidRDefault="00000000">
            <w:r>
              <w:t>Total</w:t>
            </w:r>
          </w:p>
        </w:tc>
      </w:tr>
      <w:tr w:rsidR="00167E7F" w14:paraId="5C1B8DA3" w14:textId="77777777">
        <w:tc>
          <w:tcPr>
            <w:tcW w:w="4733" w:type="dxa"/>
          </w:tcPr>
          <w:p w14:paraId="44F38C27" w14:textId="77777777" w:rsidR="00167E7F" w:rsidRDefault="00000000">
            <w:r>
              <w:t>Mutual Fund</w:t>
            </w:r>
          </w:p>
        </w:tc>
        <w:tc>
          <w:tcPr>
            <w:tcW w:w="1845" w:type="dxa"/>
          </w:tcPr>
          <w:p w14:paraId="4E549E44" w14:textId="77777777" w:rsidR="00167E7F" w:rsidRDefault="00000000">
            <w:r>
              <w:t>8</w:t>
            </w:r>
          </w:p>
        </w:tc>
        <w:tc>
          <w:tcPr>
            <w:tcW w:w="1326" w:type="dxa"/>
          </w:tcPr>
          <w:p w14:paraId="1F487856" w14:textId="77777777" w:rsidR="00167E7F" w:rsidRDefault="00000000">
            <w:r>
              <w:t>10</w:t>
            </w:r>
          </w:p>
        </w:tc>
        <w:tc>
          <w:tcPr>
            <w:tcW w:w="1455" w:type="dxa"/>
          </w:tcPr>
          <w:p w14:paraId="3A3D48B8" w14:textId="77777777" w:rsidR="00167E7F" w:rsidRDefault="00000000">
            <w:r>
              <w:t>18</w:t>
            </w:r>
          </w:p>
        </w:tc>
      </w:tr>
      <w:tr w:rsidR="00167E7F" w14:paraId="4C7A8DCF" w14:textId="77777777">
        <w:tc>
          <w:tcPr>
            <w:tcW w:w="4733" w:type="dxa"/>
          </w:tcPr>
          <w:p w14:paraId="28159B68" w14:textId="77777777" w:rsidR="00167E7F" w:rsidRDefault="00000000">
            <w:r>
              <w:t>Equity</w:t>
            </w:r>
          </w:p>
        </w:tc>
        <w:tc>
          <w:tcPr>
            <w:tcW w:w="1845" w:type="dxa"/>
          </w:tcPr>
          <w:p w14:paraId="5FF79B8D" w14:textId="77777777" w:rsidR="00167E7F" w:rsidRDefault="00000000">
            <w:r>
              <w:t>3</w:t>
            </w:r>
          </w:p>
        </w:tc>
        <w:tc>
          <w:tcPr>
            <w:tcW w:w="1326" w:type="dxa"/>
          </w:tcPr>
          <w:p w14:paraId="391767F5" w14:textId="77777777" w:rsidR="00167E7F" w:rsidRDefault="00000000">
            <w:r>
              <w:t>7</w:t>
            </w:r>
          </w:p>
        </w:tc>
        <w:tc>
          <w:tcPr>
            <w:tcW w:w="1455" w:type="dxa"/>
          </w:tcPr>
          <w:p w14:paraId="51FC05E2" w14:textId="77777777" w:rsidR="00167E7F" w:rsidRDefault="00000000">
            <w:r>
              <w:t>10</w:t>
            </w:r>
          </w:p>
        </w:tc>
      </w:tr>
      <w:tr w:rsidR="00167E7F" w14:paraId="4E22B509" w14:textId="77777777">
        <w:tc>
          <w:tcPr>
            <w:tcW w:w="4733" w:type="dxa"/>
          </w:tcPr>
          <w:p w14:paraId="149F2ED2" w14:textId="77777777" w:rsidR="00167E7F" w:rsidRDefault="00000000">
            <w:r>
              <w:t>Fixed Deposits</w:t>
            </w:r>
          </w:p>
        </w:tc>
        <w:tc>
          <w:tcPr>
            <w:tcW w:w="1845" w:type="dxa"/>
          </w:tcPr>
          <w:p w14:paraId="39D3E1FE" w14:textId="77777777" w:rsidR="00167E7F" w:rsidRDefault="00000000">
            <w:r>
              <w:t>3</w:t>
            </w:r>
          </w:p>
        </w:tc>
        <w:tc>
          <w:tcPr>
            <w:tcW w:w="1326" w:type="dxa"/>
          </w:tcPr>
          <w:p w14:paraId="10918D7D" w14:textId="77777777" w:rsidR="00167E7F" w:rsidRDefault="00000000">
            <w:r>
              <w:t>6</w:t>
            </w:r>
          </w:p>
        </w:tc>
        <w:tc>
          <w:tcPr>
            <w:tcW w:w="1455" w:type="dxa"/>
          </w:tcPr>
          <w:p w14:paraId="3AEDC170" w14:textId="77777777" w:rsidR="00167E7F" w:rsidRDefault="00000000">
            <w:r>
              <w:t>9</w:t>
            </w:r>
          </w:p>
        </w:tc>
      </w:tr>
      <w:tr w:rsidR="00167E7F" w14:paraId="1503D216" w14:textId="77777777">
        <w:tc>
          <w:tcPr>
            <w:tcW w:w="4733" w:type="dxa"/>
          </w:tcPr>
          <w:p w14:paraId="248801D3" w14:textId="77777777" w:rsidR="00167E7F" w:rsidRDefault="00000000">
            <w:r>
              <w:t>Public Provident Fund</w:t>
            </w:r>
          </w:p>
        </w:tc>
        <w:tc>
          <w:tcPr>
            <w:tcW w:w="1845" w:type="dxa"/>
          </w:tcPr>
          <w:p w14:paraId="10BAB02E" w14:textId="77777777" w:rsidR="00167E7F" w:rsidRDefault="00000000">
            <w:r>
              <w:t>1</w:t>
            </w:r>
          </w:p>
        </w:tc>
        <w:tc>
          <w:tcPr>
            <w:tcW w:w="1326" w:type="dxa"/>
          </w:tcPr>
          <w:p w14:paraId="650594D9" w14:textId="77777777" w:rsidR="00167E7F" w:rsidRDefault="00000000">
            <w:r>
              <w:t>2</w:t>
            </w:r>
          </w:p>
        </w:tc>
        <w:tc>
          <w:tcPr>
            <w:tcW w:w="1455" w:type="dxa"/>
          </w:tcPr>
          <w:p w14:paraId="222C3541" w14:textId="77777777" w:rsidR="00167E7F" w:rsidRDefault="00000000">
            <w:r>
              <w:t>3</w:t>
            </w:r>
          </w:p>
        </w:tc>
      </w:tr>
      <w:tr w:rsidR="00167E7F" w14:paraId="2DC45180" w14:textId="77777777">
        <w:tc>
          <w:tcPr>
            <w:tcW w:w="4733" w:type="dxa"/>
          </w:tcPr>
          <w:p w14:paraId="4E9F56CE" w14:textId="77777777" w:rsidR="00167E7F" w:rsidRDefault="00000000">
            <w:r>
              <w:t>Total</w:t>
            </w:r>
          </w:p>
        </w:tc>
        <w:tc>
          <w:tcPr>
            <w:tcW w:w="1845" w:type="dxa"/>
          </w:tcPr>
          <w:p w14:paraId="51D1FB3F" w14:textId="77777777" w:rsidR="00167E7F" w:rsidRDefault="00000000">
            <w:r>
              <w:t>15</w:t>
            </w:r>
          </w:p>
        </w:tc>
        <w:tc>
          <w:tcPr>
            <w:tcW w:w="1326" w:type="dxa"/>
          </w:tcPr>
          <w:p w14:paraId="7FA074A1" w14:textId="77777777" w:rsidR="00167E7F" w:rsidRDefault="00000000">
            <w:r>
              <w:t>25</w:t>
            </w:r>
          </w:p>
        </w:tc>
        <w:tc>
          <w:tcPr>
            <w:tcW w:w="1455" w:type="dxa"/>
          </w:tcPr>
          <w:p w14:paraId="49A72F09" w14:textId="77777777" w:rsidR="00167E7F" w:rsidRDefault="00000000">
            <w:r>
              <w:t>40</w:t>
            </w:r>
          </w:p>
        </w:tc>
      </w:tr>
    </w:tbl>
    <w:p w14:paraId="5F775E2F" w14:textId="77777777" w:rsidR="00167E7F" w:rsidRDefault="00000000">
      <w:r>
        <w:t>Mutual Funds lead for both groups (53% of women, 40% of men). Men account for more of the Equity and Fixed Deposit picks, but the counts are too small to call this a real gender difference.</w:t>
      </w:r>
    </w:p>
    <w:sectPr w:rsidR="00167E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C6E07"/>
    <w:multiLevelType w:val="hybridMultilevel"/>
    <w:tmpl w:val="90B61342"/>
    <w:lvl w:ilvl="0" w:tplc="1C1A99F4">
      <w:start w:val="1"/>
      <w:numFmt w:val="bullet"/>
      <w:lvlText w:val="•"/>
      <w:lvlJc w:val="left"/>
      <w:pPr>
        <w:ind w:left="720" w:hanging="360"/>
      </w:pPr>
    </w:lvl>
    <w:lvl w:ilvl="1" w:tplc="D1F8D5B6">
      <w:start w:val="1"/>
      <w:numFmt w:val="bullet"/>
      <w:lvlText w:val="o"/>
      <w:lvlJc w:val="left"/>
      <w:pPr>
        <w:ind w:left="1440" w:hanging="360"/>
      </w:pPr>
    </w:lvl>
    <w:lvl w:ilvl="2" w:tplc="67AA5AA0">
      <w:start w:val="1"/>
      <w:numFmt w:val="bullet"/>
      <w:lvlText w:val="▪"/>
      <w:lvlJc w:val="left"/>
      <w:pPr>
        <w:ind w:left="2160" w:hanging="360"/>
      </w:pPr>
    </w:lvl>
    <w:lvl w:ilvl="3" w:tplc="47283A98">
      <w:start w:val="1"/>
      <w:numFmt w:val="bullet"/>
      <w:lvlText w:val="•"/>
      <w:lvlJc w:val="left"/>
      <w:pPr>
        <w:ind w:left="2880" w:hanging="360"/>
      </w:pPr>
    </w:lvl>
    <w:lvl w:ilvl="4" w:tplc="4B00BCB8">
      <w:start w:val="1"/>
      <w:numFmt w:val="bullet"/>
      <w:lvlText w:val="o"/>
      <w:lvlJc w:val="left"/>
      <w:pPr>
        <w:ind w:left="3600" w:hanging="360"/>
      </w:pPr>
    </w:lvl>
    <w:lvl w:ilvl="5" w:tplc="87E61E86">
      <w:start w:val="1"/>
      <w:numFmt w:val="bullet"/>
      <w:lvlText w:val="▪"/>
      <w:lvlJc w:val="left"/>
      <w:pPr>
        <w:ind w:left="4320" w:hanging="360"/>
      </w:pPr>
    </w:lvl>
    <w:lvl w:ilvl="6" w:tplc="3C62CC76">
      <w:start w:val="1"/>
      <w:numFmt w:val="bullet"/>
      <w:lvlText w:val="•"/>
      <w:lvlJc w:val="left"/>
      <w:pPr>
        <w:ind w:left="5040" w:hanging="360"/>
      </w:pPr>
    </w:lvl>
    <w:lvl w:ilvl="7" w:tplc="89BC7448">
      <w:start w:val="1"/>
      <w:numFmt w:val="bullet"/>
      <w:lvlText w:val="o"/>
      <w:lvlJc w:val="left"/>
      <w:pPr>
        <w:ind w:left="5760" w:hanging="360"/>
      </w:pPr>
    </w:lvl>
    <w:lvl w:ilvl="8" w:tplc="82F2EAB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8CB4D7A"/>
    <w:multiLevelType w:val="hybridMultilevel"/>
    <w:tmpl w:val="2424C66E"/>
    <w:lvl w:ilvl="0" w:tplc="F314CD8C">
      <w:start w:val="1"/>
      <w:numFmt w:val="decimal"/>
      <w:lvlText w:val="%1."/>
      <w:lvlJc w:val="left"/>
      <w:pPr>
        <w:ind w:left="720" w:hanging="360"/>
      </w:pPr>
    </w:lvl>
    <w:lvl w:ilvl="1" w:tplc="12545C3E">
      <w:start w:val="1"/>
      <w:numFmt w:val="lowerLetter"/>
      <w:lvlText w:val="%2."/>
      <w:lvlJc w:val="left"/>
      <w:pPr>
        <w:ind w:left="1440" w:hanging="360"/>
      </w:pPr>
    </w:lvl>
    <w:lvl w:ilvl="2" w:tplc="0C740BA8">
      <w:start w:val="1"/>
      <w:numFmt w:val="lowerRoman"/>
      <w:lvlText w:val="%3."/>
      <w:lvlJc w:val="left"/>
      <w:pPr>
        <w:ind w:left="2160" w:hanging="360"/>
      </w:pPr>
    </w:lvl>
    <w:lvl w:ilvl="3" w:tplc="928EB4FE">
      <w:start w:val="1"/>
      <w:numFmt w:val="decimal"/>
      <w:lvlText w:val="%4."/>
      <w:lvlJc w:val="left"/>
      <w:pPr>
        <w:ind w:left="2880" w:hanging="360"/>
      </w:pPr>
    </w:lvl>
    <w:lvl w:ilvl="4" w:tplc="ED78CBB2">
      <w:start w:val="1"/>
      <w:numFmt w:val="lowerLetter"/>
      <w:lvlText w:val="%5."/>
      <w:lvlJc w:val="left"/>
      <w:pPr>
        <w:ind w:left="3600" w:hanging="360"/>
      </w:pPr>
    </w:lvl>
    <w:lvl w:ilvl="5" w:tplc="1D84B2BA">
      <w:start w:val="1"/>
      <w:numFmt w:val="lowerRoman"/>
      <w:lvlText w:val="%6."/>
      <w:lvlJc w:val="left"/>
      <w:pPr>
        <w:ind w:left="4320" w:hanging="360"/>
      </w:pPr>
    </w:lvl>
    <w:lvl w:ilvl="6" w:tplc="285A8CD0">
      <w:start w:val="1"/>
      <w:numFmt w:val="decimal"/>
      <w:lvlText w:val="%7."/>
      <w:lvlJc w:val="left"/>
      <w:pPr>
        <w:ind w:left="5040" w:hanging="360"/>
      </w:pPr>
    </w:lvl>
    <w:lvl w:ilvl="7" w:tplc="A990A738">
      <w:start w:val="1"/>
      <w:numFmt w:val="lowerLetter"/>
      <w:lvlText w:val="%8."/>
      <w:lvlJc w:val="left"/>
      <w:pPr>
        <w:ind w:left="5760" w:hanging="360"/>
      </w:pPr>
    </w:lvl>
    <w:lvl w:ilvl="8" w:tplc="A13AB390">
      <w:start w:val="1"/>
      <w:numFmt w:val="lowerRoman"/>
      <w:lvlText w:val="%9."/>
      <w:lvlJc w:val="left"/>
      <w:pPr>
        <w:ind w:left="6480" w:hanging="360"/>
      </w:pPr>
    </w:lvl>
  </w:abstractNum>
  <w:num w:numId="1" w16cid:durableId="1708529510">
    <w:abstractNumId w:val="0"/>
  </w:num>
  <w:num w:numId="2" w16cid:durableId="1409225238">
    <w:abstractNumId w:val="0"/>
  </w:num>
  <w:num w:numId="3" w16cid:durableId="202258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7F"/>
    <w:rsid w:val="00167E7F"/>
    <w:rsid w:val="00782267"/>
    <w:rsid w:val="00D5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4C4B"/>
  <w15:docId w15:val="{C69A81B2-F88F-4360-B7B2-12D6E584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Survey Analysis Summary</dc:title>
  <dc:creator>hello</dc:creator>
  <dc:description>Claude Docs node/935ef1a9-ea37@3 docx-w7</dc:description>
  <cp:lastModifiedBy>hildegarde mukonyora</cp:lastModifiedBy>
  <cp:revision>2</cp:revision>
  <dcterms:created xsi:type="dcterms:W3CDTF">2026-10-16T18:47:00Z</dcterms:created>
  <dcterms:modified xsi:type="dcterms:W3CDTF">2026-10-16T18:47:00Z</dcterms:modified>
</cp:coreProperties>
</file>