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BCB1D" w14:textId="77777777" w:rsidR="00B37EB6" w:rsidRDefault="00000000">
      <w:pPr>
        <w:shd w:val="clear" w:color="auto" w:fill="1F3864"/>
      </w:pPr>
      <w:r>
        <w:rPr>
          <w:sz w:val="12"/>
          <w:szCs w:val="12"/>
        </w:rPr>
        <w:t xml:space="preserve">  </w:t>
      </w:r>
    </w:p>
    <w:p w14:paraId="2BFBE251" w14:textId="77777777" w:rsidR="00B37EB6" w:rsidRDefault="00000000">
      <w:pPr>
        <w:spacing w:before="240" w:after="60"/>
      </w:pPr>
      <w:r>
        <w:rPr>
          <w:b/>
          <w:bCs/>
          <w:color w:val="1F3864"/>
          <w:sz w:val="56"/>
          <w:szCs w:val="56"/>
        </w:rPr>
        <w:t>Investor Segments Report</w:t>
      </w:r>
    </w:p>
    <w:p w14:paraId="7925FB8A" w14:textId="77777777" w:rsidR="00B37EB6" w:rsidRDefault="00000000">
      <w:pPr>
        <w:spacing w:after="60"/>
      </w:pPr>
      <w:r>
        <w:rPr>
          <w:color w:val="595959"/>
          <w:sz w:val="26"/>
          <w:szCs w:val="26"/>
        </w:rPr>
        <w:t>How three groups of investors rank seven investment avenues</w:t>
      </w:r>
    </w:p>
    <w:p w14:paraId="412FCD3A" w14:textId="77777777" w:rsidR="00B37EB6" w:rsidRDefault="00000000">
      <w:pPr>
        <w:pBdr>
          <w:bottom w:val="single" w:sz="18" w:space="6" w:color="C9A227"/>
        </w:pBdr>
        <w:spacing w:after="200"/>
      </w:pPr>
      <w:r>
        <w:rPr>
          <w:color w:val="595959"/>
          <w:sz w:val="20"/>
          <w:szCs w:val="20"/>
        </w:rPr>
        <w:t>Prepared by Hilda Mukonyora  |  14 October 2026</w:t>
      </w:r>
    </w:p>
    <w:p w14:paraId="61E0F9B8" w14:textId="77777777" w:rsidR="00B37EB6" w:rsidRDefault="00000000">
      <w:pPr>
        <w:pStyle w:val="Heading1"/>
        <w:pBdr>
          <w:bottom w:val="single" w:sz="8" w:space="2" w:color="C9A227"/>
        </w:pBdr>
        <w:spacing w:before="300" w:after="120"/>
      </w:pPr>
      <w:r>
        <w:rPr>
          <w:b/>
          <w:bCs/>
          <w:color w:val="1F3864"/>
          <w:sz w:val="30"/>
          <w:szCs w:val="30"/>
        </w:rPr>
        <w:t>1. Executive summary</w:t>
      </w:r>
    </w:p>
    <w:p w14:paraId="0ED8E4E8" w14:textId="77777777" w:rsidR="00B37EB6" w:rsidRDefault="00000000">
      <w:pPr>
        <w:spacing w:after="120" w:line="300" w:lineRule="auto"/>
      </w:pPr>
      <w:r>
        <w:t>The heatmap shows the average rank that each of three investor segments gave to seven investment avenues, where 1 is the most preferred and 7 the least. The 40 respondents split very unevenly: 31 in Segment 2, 5 in Segment 3 and 4 in Segment 1.</w:t>
      </w:r>
    </w:p>
    <w:p w14:paraId="31D262B0" w14:textId="77777777" w:rsidR="00B37EB6" w:rsidRDefault="00000000">
      <w:pPr>
        <w:pStyle w:val="ListParagraph"/>
        <w:numPr>
          <w:ilvl w:val="0"/>
          <w:numId w:val="2"/>
        </w:numPr>
        <w:spacing w:after="80" w:line="290" w:lineRule="auto"/>
      </w:pPr>
      <w:r>
        <w:rPr>
          <w:b/>
          <w:bCs/>
        </w:rPr>
        <w:t xml:space="preserve">One segment is the market. </w:t>
      </w:r>
      <w:r>
        <w:t>Segment 2 holds 77.5% of respondents. It puts PPF first (mean rank 1.6), followed by Mutual Funds (2.5) and Fixed Deposits (3.0).</w:t>
      </w:r>
    </w:p>
    <w:p w14:paraId="6F20BB92" w14:textId="77777777" w:rsidR="00B37EB6" w:rsidRDefault="00000000">
      <w:pPr>
        <w:pStyle w:val="ListParagraph"/>
        <w:numPr>
          <w:ilvl w:val="0"/>
          <w:numId w:val="2"/>
        </w:numPr>
        <w:spacing w:after="80" w:line="290" w:lineRule="auto"/>
      </w:pPr>
      <w:r>
        <w:rPr>
          <w:b/>
          <w:bCs/>
        </w:rPr>
        <w:t xml:space="preserve">Preferences differ sharply between segments. </w:t>
      </w:r>
      <w:r>
        <w:t>Segment 1 favours Mutual Funds and Equity Market equally (1.5), while Segment 3 favours Government Bonds (1.8) and PPF (2.4).</w:t>
      </w:r>
    </w:p>
    <w:p w14:paraId="55C8D4BC" w14:textId="77777777" w:rsidR="00B37EB6" w:rsidRDefault="00000000">
      <w:pPr>
        <w:pStyle w:val="ListParagraph"/>
        <w:numPr>
          <w:ilvl w:val="0"/>
          <w:numId w:val="2"/>
        </w:numPr>
        <w:spacing w:after="80" w:line="290" w:lineRule="auto"/>
      </w:pPr>
      <w:r>
        <w:rPr>
          <w:b/>
          <w:bCs/>
        </w:rPr>
        <w:t xml:space="preserve">Debentures split the segments most. </w:t>
      </w:r>
      <w:r>
        <w:t>They rank 2.8 for Segment 3 and 3.5 for Segment 1, but 6.5 for Segment 2, a gap of 3.7 ranks.</w:t>
      </w:r>
    </w:p>
    <w:p w14:paraId="14962483" w14:textId="77777777" w:rsidR="00B37EB6" w:rsidRDefault="00000000">
      <w:pPr>
        <w:pStyle w:val="ListParagraph"/>
        <w:numPr>
          <w:ilvl w:val="0"/>
          <w:numId w:val="2"/>
        </w:numPr>
        <w:spacing w:after="80" w:line="290" w:lineRule="auto"/>
      </w:pPr>
      <w:r>
        <w:rPr>
          <w:b/>
          <w:bCs/>
        </w:rPr>
        <w:t xml:space="preserve">Gold is last or near last for everyone. </w:t>
      </w:r>
      <w:r>
        <w:t>Mean ranks are 5.8, 5.9 and 6.6, the narrowest spread of any avenue (0.8).</w:t>
      </w:r>
    </w:p>
    <w:p w14:paraId="5F0384DD" w14:textId="77777777" w:rsidR="00B37EB6" w:rsidRDefault="00000000">
      <w:pPr>
        <w:pStyle w:val="ListParagraph"/>
        <w:numPr>
          <w:ilvl w:val="0"/>
          <w:numId w:val="2"/>
        </w:numPr>
        <w:spacing w:after="80" w:line="290" w:lineRule="auto"/>
      </w:pPr>
      <w:r>
        <w:rPr>
          <w:b/>
          <w:bCs/>
        </w:rPr>
        <w:t xml:space="preserve">Treat the small segments cautiously. </w:t>
      </w:r>
      <w:r>
        <w:t>Segments 1 and 3 contain only 4 and 5 people, so their averages can move a lot with one respondent.</w:t>
      </w:r>
    </w:p>
    <w:p w14:paraId="250CF2DF" w14:textId="77777777" w:rsidR="00B37EB6" w:rsidRDefault="00000000">
      <w:pPr>
        <w:pStyle w:val="Heading1"/>
        <w:pBdr>
          <w:bottom w:val="single" w:sz="8" w:space="2" w:color="C9A227"/>
        </w:pBdr>
        <w:spacing w:before="300" w:after="120"/>
      </w:pPr>
      <w:r>
        <w:rPr>
          <w:b/>
          <w:bCs/>
          <w:color w:val="1F3864"/>
          <w:sz w:val="30"/>
          <w:szCs w:val="30"/>
        </w:rPr>
        <w:t>2. The heatmap</w:t>
      </w:r>
    </w:p>
    <w:p w14:paraId="7CCE0DA7" w14:textId="77777777" w:rsidR="00B37EB6" w:rsidRDefault="00000000">
      <w:pPr>
        <w:spacing w:before="120" w:after="60"/>
        <w:jc w:val="center"/>
      </w:pPr>
      <w:r>
        <w:rPr>
          <w:noProof/>
        </w:rPr>
        <w:drawing>
          <wp:inline distT="0" distB="0" distL="0" distR="0" wp14:anchorId="40BDE73F" wp14:editId="505D2FA8">
            <wp:extent cx="5715000" cy="2943225"/>
            <wp:effectExtent l="0" t="0" r="0" b="0"/>
            <wp:docPr id="1" name="segments" descr="Heatmap of mean rank of seven investment avenues for three investor segments" title="Investor segments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43225"/>
                    </a:xfrm>
                    <a:prstGeom prst="rect">
                      <a:avLst/>
                    </a:prstGeom>
                  </pic:spPr>
                </pic:pic>
              </a:graphicData>
            </a:graphic>
          </wp:inline>
        </w:drawing>
      </w:r>
    </w:p>
    <w:p w14:paraId="07EECC2A" w14:textId="77777777" w:rsidR="00B37EB6" w:rsidRDefault="00000000">
      <w:pPr>
        <w:spacing w:after="200"/>
        <w:jc w:val="center"/>
      </w:pPr>
      <w:r>
        <w:rPr>
          <w:i/>
          <w:iCs/>
          <w:color w:val="595959"/>
          <w:sz w:val="18"/>
          <w:szCs w:val="18"/>
        </w:rPr>
        <w:t>Figure 1. Mean rank of each investment avenue by investor segment (1 = most preferred, 7 = least preferred).</w:t>
      </w:r>
    </w:p>
    <w:p w14:paraId="6F1B0A8C" w14:textId="77777777" w:rsidR="00B37EB6" w:rsidRDefault="00000000">
      <w:pPr>
        <w:spacing w:after="120" w:line="300" w:lineRule="auto"/>
      </w:pPr>
      <w:r>
        <w:t xml:space="preserve">Green cells are preferred avenues and red cells are disliked ones. The values printed in the cells are mean ranks, and a rank is the position a respondent gave an avenue when ordering all seven. As a </w:t>
      </w:r>
      <w:r>
        <w:lastRenderedPageBreak/>
        <w:t>consistency check, each segment's seven means add up to about 28, which is what complete rankings from 1 to 7 must produce.</w:t>
      </w:r>
    </w:p>
    <w:p w14:paraId="7B708BE6" w14:textId="77777777" w:rsidR="00B37EB6" w:rsidRDefault="00000000">
      <w:pPr>
        <w:pStyle w:val="Heading1"/>
        <w:pBdr>
          <w:bottom w:val="single" w:sz="8" w:space="2" w:color="C9A227"/>
        </w:pBdr>
        <w:spacing w:before="300" w:after="120"/>
      </w:pPr>
      <w:r>
        <w:rPr>
          <w:b/>
          <w:bCs/>
          <w:color w:val="1F3864"/>
          <w:sz w:val="30"/>
          <w:szCs w:val="30"/>
        </w:rPr>
        <w:t>3. Mean ranks by segment</w:t>
      </w:r>
    </w:p>
    <w:p w14:paraId="27B3FE40" w14:textId="77777777" w:rsidR="00B37EB6" w:rsidRDefault="00000000">
      <w:pPr>
        <w:spacing w:after="120" w:line="300" w:lineRule="auto"/>
      </w:pPr>
      <w:r>
        <w:t>The table repeats the chart values with the same colour scale. The last row shows how much each avenue's rank varies across the three segments.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1000"/>
        <w:gridCol w:w="1000"/>
        <w:gridCol w:w="1000"/>
        <w:gridCol w:w="1000"/>
        <w:gridCol w:w="1000"/>
        <w:gridCol w:w="1000"/>
      </w:tblGrid>
      <w:tr w:rsidR="00B37EB6" w14:paraId="66E1D6AF" w14:textId="77777777">
        <w:tblPrEx>
          <w:tblCellMar>
            <w:top w:w="0" w:type="dxa"/>
            <w:bottom w:w="0" w:type="dxa"/>
          </w:tblCellMar>
        </w:tblPrEx>
        <w:trPr>
          <w:tblHeader/>
        </w:trPr>
        <w:tc>
          <w:tcPr>
            <w:tcW w:w="19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80" w:type="dxa"/>
              <w:bottom w:w="70" w:type="dxa"/>
              <w:right w:w="80" w:type="dxa"/>
            </w:tcMar>
            <w:vAlign w:val="center"/>
          </w:tcPr>
          <w:p w14:paraId="3F2DB54B" w14:textId="77777777" w:rsidR="00B37EB6" w:rsidRDefault="00000000">
            <w:r>
              <w:rPr>
                <w:b/>
                <w:bCs/>
                <w:color w:val="FFFFFF"/>
                <w:sz w:val="18"/>
                <w:szCs w:val="18"/>
              </w:rPr>
              <w:t>Segment</w:t>
            </w:r>
          </w:p>
        </w:tc>
        <w:tc>
          <w:tcPr>
            <w:tcW w:w="10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80" w:type="dxa"/>
              <w:bottom w:w="70" w:type="dxa"/>
              <w:right w:w="80" w:type="dxa"/>
            </w:tcMar>
            <w:vAlign w:val="center"/>
          </w:tcPr>
          <w:p w14:paraId="5790C221" w14:textId="77777777" w:rsidR="00B37EB6" w:rsidRDefault="00000000">
            <w:pPr>
              <w:jc w:val="center"/>
            </w:pPr>
            <w:r>
              <w:rPr>
                <w:b/>
                <w:bCs/>
                <w:color w:val="FFFFFF"/>
                <w:sz w:val="16"/>
                <w:szCs w:val="16"/>
              </w:rPr>
              <w:t>Mutual Funds</w:t>
            </w:r>
          </w:p>
        </w:tc>
        <w:tc>
          <w:tcPr>
            <w:tcW w:w="10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80" w:type="dxa"/>
              <w:bottom w:w="70" w:type="dxa"/>
              <w:right w:w="80" w:type="dxa"/>
            </w:tcMar>
            <w:vAlign w:val="center"/>
          </w:tcPr>
          <w:p w14:paraId="67745B8E" w14:textId="77777777" w:rsidR="00B37EB6" w:rsidRDefault="00000000">
            <w:pPr>
              <w:jc w:val="center"/>
            </w:pPr>
            <w:r>
              <w:rPr>
                <w:b/>
                <w:bCs/>
                <w:color w:val="FFFFFF"/>
                <w:sz w:val="16"/>
                <w:szCs w:val="16"/>
              </w:rPr>
              <w:t>Equity Market</w:t>
            </w:r>
          </w:p>
        </w:tc>
        <w:tc>
          <w:tcPr>
            <w:tcW w:w="10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80" w:type="dxa"/>
              <w:bottom w:w="70" w:type="dxa"/>
              <w:right w:w="80" w:type="dxa"/>
            </w:tcMar>
            <w:vAlign w:val="center"/>
          </w:tcPr>
          <w:p w14:paraId="75E9422E" w14:textId="77777777" w:rsidR="00B37EB6" w:rsidRDefault="00000000">
            <w:pPr>
              <w:jc w:val="center"/>
            </w:pPr>
            <w:r>
              <w:rPr>
                <w:b/>
                <w:bCs/>
                <w:color w:val="FFFFFF"/>
                <w:sz w:val="16"/>
                <w:szCs w:val="16"/>
              </w:rPr>
              <w:t>Debentures</w:t>
            </w:r>
          </w:p>
        </w:tc>
        <w:tc>
          <w:tcPr>
            <w:tcW w:w="10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80" w:type="dxa"/>
              <w:bottom w:w="70" w:type="dxa"/>
              <w:right w:w="80" w:type="dxa"/>
            </w:tcMar>
            <w:vAlign w:val="center"/>
          </w:tcPr>
          <w:p w14:paraId="109CD89F" w14:textId="77777777" w:rsidR="00B37EB6" w:rsidRDefault="00000000">
            <w:pPr>
              <w:jc w:val="center"/>
            </w:pPr>
            <w:r>
              <w:rPr>
                <w:b/>
                <w:bCs/>
                <w:color w:val="FFFFFF"/>
                <w:sz w:val="16"/>
                <w:szCs w:val="16"/>
              </w:rPr>
              <w:t>Government Bonds</w:t>
            </w:r>
          </w:p>
        </w:tc>
        <w:tc>
          <w:tcPr>
            <w:tcW w:w="10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80" w:type="dxa"/>
              <w:bottom w:w="70" w:type="dxa"/>
              <w:right w:w="80" w:type="dxa"/>
            </w:tcMar>
            <w:vAlign w:val="center"/>
          </w:tcPr>
          <w:p w14:paraId="6C2F139E" w14:textId="77777777" w:rsidR="00B37EB6" w:rsidRDefault="00000000">
            <w:pPr>
              <w:jc w:val="center"/>
            </w:pPr>
            <w:r>
              <w:rPr>
                <w:b/>
                <w:bCs/>
                <w:color w:val="FFFFFF"/>
                <w:sz w:val="16"/>
                <w:szCs w:val="16"/>
              </w:rPr>
              <w:t>Fixed Deposits</w:t>
            </w:r>
          </w:p>
        </w:tc>
        <w:tc>
          <w:tcPr>
            <w:tcW w:w="10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80" w:type="dxa"/>
              <w:bottom w:w="70" w:type="dxa"/>
              <w:right w:w="80" w:type="dxa"/>
            </w:tcMar>
            <w:vAlign w:val="center"/>
          </w:tcPr>
          <w:p w14:paraId="651075A7" w14:textId="77777777" w:rsidR="00B37EB6" w:rsidRDefault="00000000">
            <w:pPr>
              <w:jc w:val="center"/>
            </w:pPr>
            <w:r>
              <w:rPr>
                <w:b/>
                <w:bCs/>
                <w:color w:val="FFFFFF"/>
                <w:sz w:val="16"/>
                <w:szCs w:val="16"/>
              </w:rPr>
              <w:t>PPF</w:t>
            </w:r>
          </w:p>
        </w:tc>
        <w:tc>
          <w:tcPr>
            <w:tcW w:w="10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80" w:type="dxa"/>
              <w:bottom w:w="70" w:type="dxa"/>
              <w:right w:w="80" w:type="dxa"/>
            </w:tcMar>
            <w:vAlign w:val="center"/>
          </w:tcPr>
          <w:p w14:paraId="437E7F2E" w14:textId="77777777" w:rsidR="00B37EB6" w:rsidRDefault="00000000">
            <w:pPr>
              <w:jc w:val="center"/>
            </w:pPr>
            <w:r>
              <w:rPr>
                <w:b/>
                <w:bCs/>
                <w:color w:val="FFFFFF"/>
                <w:sz w:val="16"/>
                <w:szCs w:val="16"/>
              </w:rPr>
              <w:t>Gold</w:t>
            </w:r>
          </w:p>
        </w:tc>
      </w:tr>
      <w:tr w:rsidR="00B37EB6" w14:paraId="587D07A8" w14:textId="77777777">
        <w:tblPrEx>
          <w:tblCellMar>
            <w:top w:w="0" w:type="dxa"/>
            <w:bottom w:w="0" w:type="dxa"/>
          </w:tblCellMar>
        </w:tblPrEx>
        <w:tc>
          <w:tcPr>
            <w:tcW w:w="1900" w:type="dxa"/>
            <w:tcBorders>
              <w:top w:val="single" w:sz="4" w:space="0" w:color="BFC8D6"/>
              <w:left w:val="single" w:sz="4" w:space="0" w:color="BFC8D6"/>
              <w:bottom w:val="single" w:sz="4" w:space="0" w:color="BFC8D6"/>
              <w:right w:val="single" w:sz="4" w:space="0" w:color="BFC8D6"/>
            </w:tcBorders>
            <w:shd w:val="clear" w:color="auto" w:fill="EEF2F8"/>
            <w:tcMar>
              <w:top w:w="70" w:type="dxa"/>
              <w:left w:w="80" w:type="dxa"/>
              <w:bottom w:w="70" w:type="dxa"/>
              <w:right w:w="80" w:type="dxa"/>
            </w:tcMar>
            <w:vAlign w:val="center"/>
          </w:tcPr>
          <w:p w14:paraId="00F5E2A7" w14:textId="77777777" w:rsidR="00B37EB6" w:rsidRDefault="00000000">
            <w:r>
              <w:rPr>
                <w:b/>
                <w:bCs/>
                <w:sz w:val="19"/>
                <w:szCs w:val="19"/>
              </w:rPr>
              <w:t>Segment 1 (n=4)</w:t>
            </w:r>
          </w:p>
        </w:tc>
        <w:tc>
          <w:tcPr>
            <w:tcW w:w="1000" w:type="dxa"/>
            <w:tcBorders>
              <w:top w:val="single" w:sz="4" w:space="0" w:color="BFC8D6"/>
              <w:left w:val="single" w:sz="4" w:space="0" w:color="BFC8D6"/>
              <w:bottom w:val="single" w:sz="4" w:space="0" w:color="BFC8D6"/>
              <w:right w:val="single" w:sz="4" w:space="0" w:color="BFC8D6"/>
            </w:tcBorders>
            <w:shd w:val="clear" w:color="auto" w:fill="3DA65D"/>
            <w:tcMar>
              <w:top w:w="70" w:type="dxa"/>
              <w:left w:w="80" w:type="dxa"/>
              <w:bottom w:w="70" w:type="dxa"/>
              <w:right w:w="80" w:type="dxa"/>
            </w:tcMar>
            <w:vAlign w:val="center"/>
          </w:tcPr>
          <w:p w14:paraId="7404C36F" w14:textId="77777777" w:rsidR="00B37EB6" w:rsidRDefault="00000000">
            <w:pPr>
              <w:jc w:val="center"/>
            </w:pPr>
            <w:r>
              <w:rPr>
                <w:b/>
                <w:bCs/>
                <w:color w:val="FFFFFF"/>
                <w:sz w:val="21"/>
                <w:szCs w:val="21"/>
              </w:rPr>
              <w:t>1.5</w:t>
            </w:r>
          </w:p>
        </w:tc>
        <w:tc>
          <w:tcPr>
            <w:tcW w:w="1000" w:type="dxa"/>
            <w:tcBorders>
              <w:top w:val="single" w:sz="4" w:space="0" w:color="BFC8D6"/>
              <w:left w:val="single" w:sz="4" w:space="0" w:color="BFC8D6"/>
              <w:bottom w:val="single" w:sz="4" w:space="0" w:color="BFC8D6"/>
              <w:right w:val="single" w:sz="4" w:space="0" w:color="BFC8D6"/>
            </w:tcBorders>
            <w:shd w:val="clear" w:color="auto" w:fill="3DA65D"/>
            <w:tcMar>
              <w:top w:w="70" w:type="dxa"/>
              <w:left w:w="80" w:type="dxa"/>
              <w:bottom w:w="70" w:type="dxa"/>
              <w:right w:w="80" w:type="dxa"/>
            </w:tcMar>
            <w:vAlign w:val="center"/>
          </w:tcPr>
          <w:p w14:paraId="75CA5DF3" w14:textId="77777777" w:rsidR="00B37EB6" w:rsidRDefault="00000000">
            <w:pPr>
              <w:jc w:val="center"/>
            </w:pPr>
            <w:r>
              <w:rPr>
                <w:b/>
                <w:bCs/>
                <w:color w:val="FFFFFF"/>
                <w:sz w:val="21"/>
                <w:szCs w:val="21"/>
              </w:rPr>
              <w:t>1.5</w:t>
            </w:r>
          </w:p>
        </w:tc>
        <w:tc>
          <w:tcPr>
            <w:tcW w:w="1000" w:type="dxa"/>
            <w:tcBorders>
              <w:top w:val="single" w:sz="4" w:space="0" w:color="BFC8D6"/>
              <w:left w:val="single" w:sz="4" w:space="0" w:color="BFC8D6"/>
              <w:bottom w:val="single" w:sz="4" w:space="0" w:color="BFC8D6"/>
              <w:right w:val="single" w:sz="4" w:space="0" w:color="BFC8D6"/>
            </w:tcBorders>
            <w:shd w:val="clear" w:color="auto" w:fill="D4E59B"/>
            <w:tcMar>
              <w:top w:w="70" w:type="dxa"/>
              <w:left w:w="80" w:type="dxa"/>
              <w:bottom w:w="70" w:type="dxa"/>
              <w:right w:w="80" w:type="dxa"/>
            </w:tcMar>
            <w:vAlign w:val="center"/>
          </w:tcPr>
          <w:p w14:paraId="6F833CEB" w14:textId="77777777" w:rsidR="00B37EB6" w:rsidRDefault="00000000">
            <w:pPr>
              <w:jc w:val="center"/>
            </w:pPr>
            <w:r>
              <w:rPr>
                <w:b/>
                <w:bCs/>
                <w:color w:val="1A1A1A"/>
                <w:sz w:val="21"/>
                <w:szCs w:val="21"/>
              </w:rPr>
              <w:t>3.5</w:t>
            </w:r>
          </w:p>
        </w:tc>
        <w:tc>
          <w:tcPr>
            <w:tcW w:w="1000" w:type="dxa"/>
            <w:tcBorders>
              <w:top w:val="single" w:sz="4" w:space="0" w:color="BFC8D6"/>
              <w:left w:val="single" w:sz="4" w:space="0" w:color="BFC8D6"/>
              <w:bottom w:val="single" w:sz="4" w:space="0" w:color="BFC8D6"/>
              <w:right w:val="single" w:sz="4" w:space="0" w:color="BFC8D6"/>
            </w:tcBorders>
            <w:shd w:val="clear" w:color="auto" w:fill="E9B180"/>
            <w:tcMar>
              <w:top w:w="70" w:type="dxa"/>
              <w:left w:w="80" w:type="dxa"/>
              <w:bottom w:w="70" w:type="dxa"/>
              <w:right w:w="80" w:type="dxa"/>
            </w:tcMar>
            <w:vAlign w:val="center"/>
          </w:tcPr>
          <w:p w14:paraId="18C4F723" w14:textId="77777777" w:rsidR="00B37EB6" w:rsidRDefault="00000000">
            <w:pPr>
              <w:jc w:val="center"/>
            </w:pPr>
            <w:r>
              <w:rPr>
                <w:b/>
                <w:bCs/>
                <w:color w:val="1A1A1A"/>
                <w:sz w:val="21"/>
                <w:szCs w:val="21"/>
              </w:rPr>
              <w:t>5.0</w:t>
            </w:r>
          </w:p>
        </w:tc>
        <w:tc>
          <w:tcPr>
            <w:tcW w:w="1000" w:type="dxa"/>
            <w:tcBorders>
              <w:top w:val="single" w:sz="4" w:space="0" w:color="BFC8D6"/>
              <w:left w:val="single" w:sz="4" w:space="0" w:color="BFC8D6"/>
              <w:bottom w:val="single" w:sz="4" w:space="0" w:color="BFC8D6"/>
              <w:right w:val="single" w:sz="4" w:space="0" w:color="BFC8D6"/>
            </w:tcBorders>
            <w:shd w:val="clear" w:color="auto" w:fill="E18F6C"/>
            <w:tcMar>
              <w:top w:w="70" w:type="dxa"/>
              <w:left w:w="80" w:type="dxa"/>
              <w:bottom w:w="70" w:type="dxa"/>
              <w:right w:w="80" w:type="dxa"/>
            </w:tcMar>
            <w:vAlign w:val="center"/>
          </w:tcPr>
          <w:p w14:paraId="5749C59E" w14:textId="77777777" w:rsidR="00B37EB6" w:rsidRDefault="00000000">
            <w:pPr>
              <w:jc w:val="center"/>
            </w:pPr>
            <w:r>
              <w:rPr>
                <w:b/>
                <w:bCs/>
                <w:color w:val="1A1A1A"/>
                <w:sz w:val="21"/>
                <w:szCs w:val="21"/>
              </w:rPr>
              <w:t>5.5</w:t>
            </w:r>
          </w:p>
        </w:tc>
        <w:tc>
          <w:tcPr>
            <w:tcW w:w="1000" w:type="dxa"/>
            <w:tcBorders>
              <w:top w:val="single" w:sz="4" w:space="0" w:color="BFC8D6"/>
              <w:left w:val="single" w:sz="4" w:space="0" w:color="BFC8D6"/>
              <w:bottom w:val="single" w:sz="4" w:space="0" w:color="BFC8D6"/>
              <w:right w:val="single" w:sz="4" w:space="0" w:color="BFC8D6"/>
            </w:tcBorders>
            <w:shd w:val="clear" w:color="auto" w:fill="E6A378"/>
            <w:tcMar>
              <w:top w:w="70" w:type="dxa"/>
              <w:left w:w="80" w:type="dxa"/>
              <w:bottom w:w="70" w:type="dxa"/>
              <w:right w:w="80" w:type="dxa"/>
            </w:tcMar>
            <w:vAlign w:val="center"/>
          </w:tcPr>
          <w:p w14:paraId="442F1850" w14:textId="77777777" w:rsidR="00B37EB6" w:rsidRDefault="00000000">
            <w:pPr>
              <w:jc w:val="center"/>
            </w:pPr>
            <w:r>
              <w:rPr>
                <w:b/>
                <w:bCs/>
                <w:color w:val="1A1A1A"/>
                <w:sz w:val="21"/>
                <w:szCs w:val="21"/>
              </w:rPr>
              <w:t>5.2</w:t>
            </w:r>
          </w:p>
        </w:tc>
        <w:tc>
          <w:tcPr>
            <w:tcW w:w="1000" w:type="dxa"/>
            <w:tcBorders>
              <w:top w:val="single" w:sz="4" w:space="0" w:color="BFC8D6"/>
              <w:left w:val="single" w:sz="4" w:space="0" w:color="BFC8D6"/>
              <w:bottom w:val="single" w:sz="4" w:space="0" w:color="BFC8D6"/>
              <w:right w:val="single" w:sz="4" w:space="0" w:color="BFC8D6"/>
            </w:tcBorders>
            <w:shd w:val="clear" w:color="auto" w:fill="DC7A5F"/>
            <w:tcMar>
              <w:top w:w="70" w:type="dxa"/>
              <w:left w:w="80" w:type="dxa"/>
              <w:bottom w:w="70" w:type="dxa"/>
              <w:right w:w="80" w:type="dxa"/>
            </w:tcMar>
            <w:vAlign w:val="center"/>
          </w:tcPr>
          <w:p w14:paraId="5DC48DB4" w14:textId="77777777" w:rsidR="00B37EB6" w:rsidRDefault="00000000">
            <w:pPr>
              <w:jc w:val="center"/>
            </w:pPr>
            <w:r>
              <w:rPr>
                <w:b/>
                <w:bCs/>
                <w:color w:val="1A1A1A"/>
                <w:sz w:val="21"/>
                <w:szCs w:val="21"/>
              </w:rPr>
              <w:t>5.8</w:t>
            </w:r>
          </w:p>
        </w:tc>
      </w:tr>
      <w:tr w:rsidR="00B37EB6" w14:paraId="6CDC7C5A" w14:textId="77777777">
        <w:tblPrEx>
          <w:tblCellMar>
            <w:top w:w="0" w:type="dxa"/>
            <w:bottom w:w="0" w:type="dxa"/>
          </w:tblCellMar>
        </w:tblPrEx>
        <w:tc>
          <w:tcPr>
            <w:tcW w:w="1900" w:type="dxa"/>
            <w:tcBorders>
              <w:top w:val="single" w:sz="4" w:space="0" w:color="BFC8D6"/>
              <w:left w:val="single" w:sz="4" w:space="0" w:color="BFC8D6"/>
              <w:bottom w:val="single" w:sz="4" w:space="0" w:color="BFC8D6"/>
              <w:right w:val="single" w:sz="4" w:space="0" w:color="BFC8D6"/>
            </w:tcBorders>
            <w:shd w:val="clear" w:color="auto" w:fill="EEF2F8"/>
            <w:tcMar>
              <w:top w:w="70" w:type="dxa"/>
              <w:left w:w="80" w:type="dxa"/>
              <w:bottom w:w="70" w:type="dxa"/>
              <w:right w:w="80" w:type="dxa"/>
            </w:tcMar>
            <w:vAlign w:val="center"/>
          </w:tcPr>
          <w:p w14:paraId="4F9BACFE" w14:textId="77777777" w:rsidR="00B37EB6" w:rsidRDefault="00000000">
            <w:r>
              <w:rPr>
                <w:b/>
                <w:bCs/>
                <w:sz w:val="19"/>
                <w:szCs w:val="19"/>
              </w:rPr>
              <w:t>Segment 2 (n=31)</w:t>
            </w:r>
          </w:p>
        </w:tc>
        <w:tc>
          <w:tcPr>
            <w:tcW w:w="1000" w:type="dxa"/>
            <w:tcBorders>
              <w:top w:val="single" w:sz="4" w:space="0" w:color="BFC8D6"/>
              <w:left w:val="single" w:sz="4" w:space="0" w:color="BFC8D6"/>
              <w:bottom w:val="single" w:sz="4" w:space="0" w:color="BFC8D6"/>
              <w:right w:val="single" w:sz="4" w:space="0" w:color="BFC8D6"/>
            </w:tcBorders>
            <w:shd w:val="clear" w:color="auto" w:fill="89C67C"/>
            <w:tcMar>
              <w:top w:w="70" w:type="dxa"/>
              <w:left w:w="80" w:type="dxa"/>
              <w:bottom w:w="70" w:type="dxa"/>
              <w:right w:w="80" w:type="dxa"/>
            </w:tcMar>
            <w:vAlign w:val="center"/>
          </w:tcPr>
          <w:p w14:paraId="22487ADF" w14:textId="77777777" w:rsidR="00B37EB6" w:rsidRDefault="00000000">
            <w:pPr>
              <w:jc w:val="center"/>
            </w:pPr>
            <w:r>
              <w:rPr>
                <w:b/>
                <w:bCs/>
                <w:color w:val="1A1A1A"/>
                <w:sz w:val="21"/>
                <w:szCs w:val="21"/>
              </w:rPr>
              <w:t>2.5</w:t>
            </w:r>
          </w:p>
        </w:tc>
        <w:tc>
          <w:tcPr>
            <w:tcW w:w="1000" w:type="dxa"/>
            <w:tcBorders>
              <w:top w:val="single" w:sz="4" w:space="0" w:color="BFC8D6"/>
              <w:left w:val="single" w:sz="4" w:space="0" w:color="BFC8D6"/>
              <w:bottom w:val="single" w:sz="4" w:space="0" w:color="BFC8D6"/>
              <w:right w:val="single" w:sz="4" w:space="0" w:color="BFC8D6"/>
            </w:tcBorders>
            <w:shd w:val="clear" w:color="auto" w:fill="D4E59B"/>
            <w:tcMar>
              <w:top w:w="70" w:type="dxa"/>
              <w:left w:w="80" w:type="dxa"/>
              <w:bottom w:w="70" w:type="dxa"/>
              <w:right w:w="80" w:type="dxa"/>
            </w:tcMar>
            <w:vAlign w:val="center"/>
          </w:tcPr>
          <w:p w14:paraId="519E7462" w14:textId="77777777" w:rsidR="00B37EB6" w:rsidRDefault="00000000">
            <w:pPr>
              <w:jc w:val="center"/>
            </w:pPr>
            <w:r>
              <w:rPr>
                <w:b/>
                <w:bCs/>
                <w:color w:val="1A1A1A"/>
                <w:sz w:val="21"/>
                <w:szCs w:val="21"/>
              </w:rPr>
              <w:t>3.5</w:t>
            </w:r>
          </w:p>
        </w:tc>
        <w:tc>
          <w:tcPr>
            <w:tcW w:w="1000" w:type="dxa"/>
            <w:tcBorders>
              <w:top w:val="single" w:sz="4" w:space="0" w:color="BFC8D6"/>
              <w:left w:val="single" w:sz="4" w:space="0" w:color="BFC8D6"/>
              <w:bottom w:val="single" w:sz="4" w:space="0" w:color="BFC8D6"/>
              <w:right w:val="single" w:sz="4" w:space="0" w:color="BFC8D6"/>
            </w:tcBorders>
            <w:shd w:val="clear" w:color="auto" w:fill="D04A42"/>
            <w:tcMar>
              <w:top w:w="70" w:type="dxa"/>
              <w:left w:w="80" w:type="dxa"/>
              <w:bottom w:w="70" w:type="dxa"/>
              <w:right w:w="80" w:type="dxa"/>
            </w:tcMar>
            <w:vAlign w:val="center"/>
          </w:tcPr>
          <w:p w14:paraId="46E3B65B" w14:textId="77777777" w:rsidR="00B37EB6" w:rsidRDefault="00000000">
            <w:pPr>
              <w:jc w:val="center"/>
            </w:pPr>
            <w:r>
              <w:rPr>
                <w:b/>
                <w:bCs/>
                <w:color w:val="FFFFFF"/>
                <w:sz w:val="21"/>
                <w:szCs w:val="21"/>
              </w:rPr>
              <w:t>6.5</w:t>
            </w:r>
          </w:p>
        </w:tc>
        <w:tc>
          <w:tcPr>
            <w:tcW w:w="1000" w:type="dxa"/>
            <w:tcBorders>
              <w:top w:val="single" w:sz="4" w:space="0" w:color="BFC8D6"/>
              <w:left w:val="single" w:sz="4" w:space="0" w:color="BFC8D6"/>
              <w:bottom w:val="single" w:sz="4" w:space="0" w:color="BFC8D6"/>
              <w:right w:val="single" w:sz="4" w:space="0" w:color="BFC8D6"/>
            </w:tcBorders>
            <w:shd w:val="clear" w:color="auto" w:fill="E8AA7C"/>
            <w:tcMar>
              <w:top w:w="70" w:type="dxa"/>
              <w:left w:w="80" w:type="dxa"/>
              <w:bottom w:w="70" w:type="dxa"/>
              <w:right w:w="80" w:type="dxa"/>
            </w:tcMar>
            <w:vAlign w:val="center"/>
          </w:tcPr>
          <w:p w14:paraId="28D7AA56" w14:textId="77777777" w:rsidR="00B37EB6" w:rsidRDefault="00000000">
            <w:pPr>
              <w:jc w:val="center"/>
            </w:pPr>
            <w:r>
              <w:rPr>
                <w:b/>
                <w:bCs/>
                <w:color w:val="1A1A1A"/>
                <w:sz w:val="21"/>
                <w:szCs w:val="21"/>
              </w:rPr>
              <w:t>5.1</w:t>
            </w:r>
          </w:p>
        </w:tc>
        <w:tc>
          <w:tcPr>
            <w:tcW w:w="1000" w:type="dxa"/>
            <w:tcBorders>
              <w:top w:val="single" w:sz="4" w:space="0" w:color="BFC8D6"/>
              <w:left w:val="single" w:sz="4" w:space="0" w:color="BFC8D6"/>
              <w:bottom w:val="single" w:sz="4" w:space="0" w:color="BFC8D6"/>
              <w:right w:val="single" w:sz="4" w:space="0" w:color="BFC8D6"/>
            </w:tcBorders>
            <w:shd w:val="clear" w:color="auto" w:fill="AED58B"/>
            <w:tcMar>
              <w:top w:w="70" w:type="dxa"/>
              <w:left w:w="80" w:type="dxa"/>
              <w:bottom w:w="70" w:type="dxa"/>
              <w:right w:w="80" w:type="dxa"/>
            </w:tcMar>
            <w:vAlign w:val="center"/>
          </w:tcPr>
          <w:p w14:paraId="74AE6095" w14:textId="77777777" w:rsidR="00B37EB6" w:rsidRDefault="00000000">
            <w:pPr>
              <w:jc w:val="center"/>
            </w:pPr>
            <w:r>
              <w:rPr>
                <w:b/>
                <w:bCs/>
                <w:color w:val="1A1A1A"/>
                <w:sz w:val="21"/>
                <w:szCs w:val="21"/>
              </w:rPr>
              <w:t>3.0</w:t>
            </w:r>
          </w:p>
        </w:tc>
        <w:tc>
          <w:tcPr>
            <w:tcW w:w="1000" w:type="dxa"/>
            <w:tcBorders>
              <w:top w:val="single" w:sz="4" w:space="0" w:color="BFC8D6"/>
              <w:left w:val="single" w:sz="4" w:space="0" w:color="BFC8D6"/>
              <w:bottom w:val="single" w:sz="4" w:space="0" w:color="BFC8D6"/>
              <w:right w:val="single" w:sz="4" w:space="0" w:color="BFC8D6"/>
            </w:tcBorders>
            <w:shd w:val="clear" w:color="auto" w:fill="44A960"/>
            <w:tcMar>
              <w:top w:w="70" w:type="dxa"/>
              <w:left w:w="80" w:type="dxa"/>
              <w:bottom w:w="70" w:type="dxa"/>
              <w:right w:w="80" w:type="dxa"/>
            </w:tcMar>
            <w:vAlign w:val="center"/>
          </w:tcPr>
          <w:p w14:paraId="60BC2EEF" w14:textId="77777777" w:rsidR="00B37EB6" w:rsidRDefault="00000000">
            <w:pPr>
              <w:jc w:val="center"/>
            </w:pPr>
            <w:r>
              <w:rPr>
                <w:b/>
                <w:bCs/>
                <w:color w:val="FFFFFF"/>
                <w:sz w:val="21"/>
                <w:szCs w:val="21"/>
              </w:rPr>
              <w:t>1.6</w:t>
            </w:r>
          </w:p>
        </w:tc>
        <w:tc>
          <w:tcPr>
            <w:tcW w:w="1000" w:type="dxa"/>
            <w:tcBorders>
              <w:top w:val="single" w:sz="4" w:space="0" w:color="BFC8D6"/>
              <w:left w:val="single" w:sz="4" w:space="0" w:color="BFC8D6"/>
              <w:bottom w:val="single" w:sz="4" w:space="0" w:color="BFC8D6"/>
              <w:right w:val="single" w:sz="4" w:space="0" w:color="BFC8D6"/>
            </w:tcBorders>
            <w:shd w:val="clear" w:color="auto" w:fill="DA735B"/>
            <w:tcMar>
              <w:top w:w="70" w:type="dxa"/>
              <w:left w:w="80" w:type="dxa"/>
              <w:bottom w:w="70" w:type="dxa"/>
              <w:right w:w="80" w:type="dxa"/>
            </w:tcMar>
            <w:vAlign w:val="center"/>
          </w:tcPr>
          <w:p w14:paraId="2E617BF0" w14:textId="77777777" w:rsidR="00B37EB6" w:rsidRDefault="00000000">
            <w:pPr>
              <w:jc w:val="center"/>
            </w:pPr>
            <w:r>
              <w:rPr>
                <w:b/>
                <w:bCs/>
                <w:color w:val="1A1A1A"/>
                <w:sz w:val="21"/>
                <w:szCs w:val="21"/>
              </w:rPr>
              <w:t>5.9</w:t>
            </w:r>
          </w:p>
        </w:tc>
      </w:tr>
      <w:tr w:rsidR="00B37EB6" w14:paraId="4AF86117" w14:textId="77777777">
        <w:tblPrEx>
          <w:tblCellMar>
            <w:top w:w="0" w:type="dxa"/>
            <w:bottom w:w="0" w:type="dxa"/>
          </w:tblCellMar>
        </w:tblPrEx>
        <w:tc>
          <w:tcPr>
            <w:tcW w:w="1900" w:type="dxa"/>
            <w:tcBorders>
              <w:top w:val="single" w:sz="4" w:space="0" w:color="BFC8D6"/>
              <w:left w:val="single" w:sz="4" w:space="0" w:color="BFC8D6"/>
              <w:bottom w:val="single" w:sz="4" w:space="0" w:color="BFC8D6"/>
              <w:right w:val="single" w:sz="4" w:space="0" w:color="BFC8D6"/>
            </w:tcBorders>
            <w:shd w:val="clear" w:color="auto" w:fill="EEF2F8"/>
            <w:tcMar>
              <w:top w:w="70" w:type="dxa"/>
              <w:left w:w="80" w:type="dxa"/>
              <w:bottom w:w="70" w:type="dxa"/>
              <w:right w:w="80" w:type="dxa"/>
            </w:tcMar>
            <w:vAlign w:val="center"/>
          </w:tcPr>
          <w:p w14:paraId="619B848D" w14:textId="77777777" w:rsidR="00B37EB6" w:rsidRDefault="00000000">
            <w:r>
              <w:rPr>
                <w:b/>
                <w:bCs/>
                <w:sz w:val="19"/>
                <w:szCs w:val="19"/>
              </w:rPr>
              <w:t>Segment 3 (n=5)</w:t>
            </w:r>
          </w:p>
        </w:tc>
        <w:tc>
          <w:tcPr>
            <w:tcW w:w="1000" w:type="dxa"/>
            <w:tcBorders>
              <w:top w:val="single" w:sz="4" w:space="0" w:color="BFC8D6"/>
              <w:left w:val="single" w:sz="4" w:space="0" w:color="BFC8D6"/>
              <w:bottom w:val="single" w:sz="4" w:space="0" w:color="BFC8D6"/>
              <w:right w:val="single" w:sz="4" w:space="0" w:color="BFC8D6"/>
            </w:tcBorders>
            <w:shd w:val="clear" w:color="auto" w:fill="EBEFA4"/>
            <w:tcMar>
              <w:top w:w="70" w:type="dxa"/>
              <w:left w:w="80" w:type="dxa"/>
              <w:bottom w:w="70" w:type="dxa"/>
              <w:right w:w="80" w:type="dxa"/>
            </w:tcMar>
            <w:vAlign w:val="center"/>
          </w:tcPr>
          <w:p w14:paraId="2638F8CE" w14:textId="77777777" w:rsidR="00B37EB6" w:rsidRDefault="00000000">
            <w:pPr>
              <w:jc w:val="center"/>
            </w:pPr>
            <w:r>
              <w:rPr>
                <w:b/>
                <w:bCs/>
                <w:color w:val="1A1A1A"/>
                <w:sz w:val="21"/>
                <w:szCs w:val="21"/>
              </w:rPr>
              <w:t>3.8</w:t>
            </w:r>
          </w:p>
        </w:tc>
        <w:tc>
          <w:tcPr>
            <w:tcW w:w="1000" w:type="dxa"/>
            <w:tcBorders>
              <w:top w:val="single" w:sz="4" w:space="0" w:color="BFC8D6"/>
              <w:left w:val="single" w:sz="4" w:space="0" w:color="BFC8D6"/>
              <w:bottom w:val="single" w:sz="4" w:space="0" w:color="BFC8D6"/>
              <w:right w:val="single" w:sz="4" w:space="0" w:color="BFC8D6"/>
            </w:tcBorders>
            <w:shd w:val="clear" w:color="auto" w:fill="EDBE89"/>
            <w:tcMar>
              <w:top w:w="70" w:type="dxa"/>
              <w:left w:w="80" w:type="dxa"/>
              <w:bottom w:w="70" w:type="dxa"/>
              <w:right w:w="80" w:type="dxa"/>
            </w:tcMar>
            <w:vAlign w:val="center"/>
          </w:tcPr>
          <w:p w14:paraId="72ADB9AB" w14:textId="77777777" w:rsidR="00B37EB6" w:rsidRDefault="00000000">
            <w:pPr>
              <w:jc w:val="center"/>
            </w:pPr>
            <w:r>
              <w:rPr>
                <w:b/>
                <w:bCs/>
                <w:color w:val="1A1A1A"/>
                <w:sz w:val="21"/>
                <w:szCs w:val="21"/>
              </w:rPr>
              <w:t>4.8</w:t>
            </w:r>
          </w:p>
        </w:tc>
        <w:tc>
          <w:tcPr>
            <w:tcW w:w="1000" w:type="dxa"/>
            <w:tcBorders>
              <w:top w:val="single" w:sz="4" w:space="0" w:color="BFC8D6"/>
              <w:left w:val="single" w:sz="4" w:space="0" w:color="BFC8D6"/>
              <w:bottom w:val="single" w:sz="4" w:space="0" w:color="BFC8D6"/>
              <w:right w:val="single" w:sz="4" w:space="0" w:color="BFC8D6"/>
            </w:tcBorders>
            <w:shd w:val="clear" w:color="auto" w:fill="9FCF85"/>
            <w:tcMar>
              <w:top w:w="70" w:type="dxa"/>
              <w:left w:w="80" w:type="dxa"/>
              <w:bottom w:w="70" w:type="dxa"/>
              <w:right w:w="80" w:type="dxa"/>
            </w:tcMar>
            <w:vAlign w:val="center"/>
          </w:tcPr>
          <w:p w14:paraId="0DB8D63A" w14:textId="77777777" w:rsidR="00B37EB6" w:rsidRDefault="00000000">
            <w:pPr>
              <w:jc w:val="center"/>
            </w:pPr>
            <w:r>
              <w:rPr>
                <w:b/>
                <w:bCs/>
                <w:color w:val="1A1A1A"/>
                <w:sz w:val="21"/>
                <w:szCs w:val="21"/>
              </w:rPr>
              <w:t>2.8</w:t>
            </w:r>
          </w:p>
        </w:tc>
        <w:tc>
          <w:tcPr>
            <w:tcW w:w="1000" w:type="dxa"/>
            <w:tcBorders>
              <w:top w:val="single" w:sz="4" w:space="0" w:color="BFC8D6"/>
              <w:left w:val="single" w:sz="4" w:space="0" w:color="BFC8D6"/>
              <w:bottom w:val="single" w:sz="4" w:space="0" w:color="BFC8D6"/>
              <w:right w:val="single" w:sz="4" w:space="0" w:color="BFC8D6"/>
            </w:tcBorders>
            <w:shd w:val="clear" w:color="auto" w:fill="54AF67"/>
            <w:tcMar>
              <w:top w:w="70" w:type="dxa"/>
              <w:left w:w="80" w:type="dxa"/>
              <w:bottom w:w="70" w:type="dxa"/>
              <w:right w:w="80" w:type="dxa"/>
            </w:tcMar>
            <w:vAlign w:val="center"/>
          </w:tcPr>
          <w:p w14:paraId="06FF215A" w14:textId="77777777" w:rsidR="00B37EB6" w:rsidRDefault="00000000">
            <w:pPr>
              <w:jc w:val="center"/>
            </w:pPr>
            <w:r>
              <w:rPr>
                <w:b/>
                <w:bCs/>
                <w:color w:val="FFFFFF"/>
                <w:sz w:val="21"/>
                <w:szCs w:val="21"/>
              </w:rPr>
              <w:t>1.8</w:t>
            </w:r>
          </w:p>
        </w:tc>
        <w:tc>
          <w:tcPr>
            <w:tcW w:w="1000" w:type="dxa"/>
            <w:tcBorders>
              <w:top w:val="single" w:sz="4" w:space="0" w:color="BFC8D6"/>
              <w:left w:val="single" w:sz="4" w:space="0" w:color="BFC8D6"/>
              <w:bottom w:val="single" w:sz="4" w:space="0" w:color="BFC8D6"/>
              <w:right w:val="single" w:sz="4" w:space="0" w:color="BFC8D6"/>
            </w:tcBorders>
            <w:shd w:val="clear" w:color="auto" w:fill="DC7A5F"/>
            <w:tcMar>
              <w:top w:w="70" w:type="dxa"/>
              <w:left w:w="80" w:type="dxa"/>
              <w:bottom w:w="70" w:type="dxa"/>
              <w:right w:w="80" w:type="dxa"/>
            </w:tcMar>
            <w:vAlign w:val="center"/>
          </w:tcPr>
          <w:p w14:paraId="04AF289B" w14:textId="77777777" w:rsidR="00B37EB6" w:rsidRDefault="00000000">
            <w:pPr>
              <w:jc w:val="center"/>
            </w:pPr>
            <w:r>
              <w:rPr>
                <w:b/>
                <w:bCs/>
                <w:color w:val="1A1A1A"/>
                <w:sz w:val="21"/>
                <w:szCs w:val="21"/>
              </w:rPr>
              <w:t>5.8</w:t>
            </w:r>
          </w:p>
        </w:tc>
        <w:tc>
          <w:tcPr>
            <w:tcW w:w="1000" w:type="dxa"/>
            <w:tcBorders>
              <w:top w:val="single" w:sz="4" w:space="0" w:color="BFC8D6"/>
              <w:left w:val="single" w:sz="4" w:space="0" w:color="BFC8D6"/>
              <w:bottom w:val="single" w:sz="4" w:space="0" w:color="BFC8D6"/>
              <w:right w:val="single" w:sz="4" w:space="0" w:color="BFC8D6"/>
            </w:tcBorders>
            <w:shd w:val="clear" w:color="auto" w:fill="81C279"/>
            <w:tcMar>
              <w:top w:w="70" w:type="dxa"/>
              <w:left w:w="80" w:type="dxa"/>
              <w:bottom w:w="70" w:type="dxa"/>
              <w:right w:w="80" w:type="dxa"/>
            </w:tcMar>
            <w:vAlign w:val="center"/>
          </w:tcPr>
          <w:p w14:paraId="4EB56A8B" w14:textId="77777777" w:rsidR="00B37EB6" w:rsidRDefault="00000000">
            <w:pPr>
              <w:jc w:val="center"/>
            </w:pPr>
            <w:r>
              <w:rPr>
                <w:b/>
                <w:bCs/>
                <w:color w:val="1A1A1A"/>
                <w:sz w:val="21"/>
                <w:szCs w:val="21"/>
              </w:rPr>
              <w:t>2.4</w:t>
            </w:r>
          </w:p>
        </w:tc>
        <w:tc>
          <w:tcPr>
            <w:tcW w:w="1000" w:type="dxa"/>
            <w:tcBorders>
              <w:top w:val="single" w:sz="4" w:space="0" w:color="BFC8D6"/>
              <w:left w:val="single" w:sz="4" w:space="0" w:color="BFC8D6"/>
              <w:bottom w:val="single" w:sz="4" w:space="0" w:color="BFC8D6"/>
              <w:right w:val="single" w:sz="4" w:space="0" w:color="BFC8D6"/>
            </w:tcBorders>
            <w:shd w:val="clear" w:color="auto" w:fill="CF433E"/>
            <w:tcMar>
              <w:top w:w="70" w:type="dxa"/>
              <w:left w:w="80" w:type="dxa"/>
              <w:bottom w:w="70" w:type="dxa"/>
              <w:right w:w="80" w:type="dxa"/>
            </w:tcMar>
            <w:vAlign w:val="center"/>
          </w:tcPr>
          <w:p w14:paraId="20C54518" w14:textId="77777777" w:rsidR="00B37EB6" w:rsidRDefault="00000000">
            <w:pPr>
              <w:jc w:val="center"/>
            </w:pPr>
            <w:r>
              <w:rPr>
                <w:b/>
                <w:bCs/>
                <w:color w:val="FFFFFF"/>
                <w:sz w:val="21"/>
                <w:szCs w:val="21"/>
              </w:rPr>
              <w:t>6.6</w:t>
            </w:r>
          </w:p>
        </w:tc>
      </w:tr>
      <w:tr w:rsidR="00B37EB6" w14:paraId="12050EE4" w14:textId="77777777">
        <w:tblPrEx>
          <w:tblCellMar>
            <w:top w:w="0" w:type="dxa"/>
            <w:bottom w:w="0" w:type="dxa"/>
          </w:tblCellMar>
        </w:tblPrEx>
        <w:tc>
          <w:tcPr>
            <w:tcW w:w="1900" w:type="dxa"/>
            <w:tcBorders>
              <w:top w:val="single" w:sz="4" w:space="0" w:color="BFC8D6"/>
              <w:left w:val="single" w:sz="4" w:space="0" w:color="BFC8D6"/>
              <w:bottom w:val="single" w:sz="4" w:space="0" w:color="BFC8D6"/>
              <w:right w:val="single" w:sz="4" w:space="0" w:color="BFC8D6"/>
            </w:tcBorders>
            <w:tcMar>
              <w:top w:w="70" w:type="dxa"/>
              <w:left w:w="80" w:type="dxa"/>
              <w:bottom w:w="70" w:type="dxa"/>
              <w:right w:w="80" w:type="dxa"/>
            </w:tcMar>
            <w:vAlign w:val="center"/>
          </w:tcPr>
          <w:p w14:paraId="35B1921D" w14:textId="77777777" w:rsidR="00B37EB6" w:rsidRDefault="00000000">
            <w:r>
              <w:rPr>
                <w:b/>
                <w:bCs/>
                <w:sz w:val="17"/>
                <w:szCs w:val="17"/>
              </w:rPr>
              <w:t>Spread (max - min)</w:t>
            </w:r>
          </w:p>
        </w:tc>
        <w:tc>
          <w:tcPr>
            <w:tcW w:w="1000" w:type="dxa"/>
            <w:tcBorders>
              <w:top w:val="single" w:sz="4" w:space="0" w:color="BFC8D6"/>
              <w:left w:val="single" w:sz="4" w:space="0" w:color="BFC8D6"/>
              <w:bottom w:val="single" w:sz="4" w:space="0" w:color="BFC8D6"/>
              <w:right w:val="single" w:sz="4" w:space="0" w:color="BFC8D6"/>
            </w:tcBorders>
            <w:tcMar>
              <w:top w:w="70" w:type="dxa"/>
              <w:left w:w="80" w:type="dxa"/>
              <w:bottom w:w="70" w:type="dxa"/>
              <w:right w:w="80" w:type="dxa"/>
            </w:tcMar>
            <w:vAlign w:val="center"/>
          </w:tcPr>
          <w:p w14:paraId="783F2571" w14:textId="77777777" w:rsidR="00B37EB6" w:rsidRDefault="00000000">
            <w:pPr>
              <w:jc w:val="center"/>
            </w:pPr>
            <w:r>
              <w:rPr>
                <w:sz w:val="19"/>
                <w:szCs w:val="19"/>
              </w:rPr>
              <w:t>2.3</w:t>
            </w:r>
          </w:p>
        </w:tc>
        <w:tc>
          <w:tcPr>
            <w:tcW w:w="1000" w:type="dxa"/>
            <w:tcBorders>
              <w:top w:val="single" w:sz="4" w:space="0" w:color="BFC8D6"/>
              <w:left w:val="single" w:sz="4" w:space="0" w:color="BFC8D6"/>
              <w:bottom w:val="single" w:sz="4" w:space="0" w:color="BFC8D6"/>
              <w:right w:val="single" w:sz="4" w:space="0" w:color="BFC8D6"/>
            </w:tcBorders>
            <w:tcMar>
              <w:top w:w="70" w:type="dxa"/>
              <w:left w:w="80" w:type="dxa"/>
              <w:bottom w:w="70" w:type="dxa"/>
              <w:right w:w="80" w:type="dxa"/>
            </w:tcMar>
            <w:vAlign w:val="center"/>
          </w:tcPr>
          <w:p w14:paraId="298C681F" w14:textId="77777777" w:rsidR="00B37EB6" w:rsidRDefault="00000000">
            <w:pPr>
              <w:jc w:val="center"/>
            </w:pPr>
            <w:r>
              <w:rPr>
                <w:sz w:val="19"/>
                <w:szCs w:val="19"/>
              </w:rPr>
              <w:t>3.3</w:t>
            </w:r>
          </w:p>
        </w:tc>
        <w:tc>
          <w:tcPr>
            <w:tcW w:w="1000" w:type="dxa"/>
            <w:tcBorders>
              <w:top w:val="single" w:sz="4" w:space="0" w:color="BFC8D6"/>
              <w:left w:val="single" w:sz="4" w:space="0" w:color="BFC8D6"/>
              <w:bottom w:val="single" w:sz="4" w:space="0" w:color="BFC8D6"/>
              <w:right w:val="single" w:sz="4" w:space="0" w:color="BFC8D6"/>
            </w:tcBorders>
            <w:tcMar>
              <w:top w:w="70" w:type="dxa"/>
              <w:left w:w="80" w:type="dxa"/>
              <w:bottom w:w="70" w:type="dxa"/>
              <w:right w:w="80" w:type="dxa"/>
            </w:tcMar>
            <w:vAlign w:val="center"/>
          </w:tcPr>
          <w:p w14:paraId="0A8341B6" w14:textId="77777777" w:rsidR="00B37EB6" w:rsidRDefault="00000000">
            <w:pPr>
              <w:jc w:val="center"/>
            </w:pPr>
            <w:r>
              <w:rPr>
                <w:sz w:val="19"/>
                <w:szCs w:val="19"/>
              </w:rPr>
              <w:t>3.7</w:t>
            </w:r>
          </w:p>
        </w:tc>
        <w:tc>
          <w:tcPr>
            <w:tcW w:w="1000" w:type="dxa"/>
            <w:tcBorders>
              <w:top w:val="single" w:sz="4" w:space="0" w:color="BFC8D6"/>
              <w:left w:val="single" w:sz="4" w:space="0" w:color="BFC8D6"/>
              <w:bottom w:val="single" w:sz="4" w:space="0" w:color="BFC8D6"/>
              <w:right w:val="single" w:sz="4" w:space="0" w:color="BFC8D6"/>
            </w:tcBorders>
            <w:tcMar>
              <w:top w:w="70" w:type="dxa"/>
              <w:left w:w="80" w:type="dxa"/>
              <w:bottom w:w="70" w:type="dxa"/>
              <w:right w:w="80" w:type="dxa"/>
            </w:tcMar>
            <w:vAlign w:val="center"/>
          </w:tcPr>
          <w:p w14:paraId="687C8B6D" w14:textId="77777777" w:rsidR="00B37EB6" w:rsidRDefault="00000000">
            <w:pPr>
              <w:jc w:val="center"/>
            </w:pPr>
            <w:r>
              <w:rPr>
                <w:sz w:val="19"/>
                <w:szCs w:val="19"/>
              </w:rPr>
              <w:t>3.3</w:t>
            </w:r>
          </w:p>
        </w:tc>
        <w:tc>
          <w:tcPr>
            <w:tcW w:w="1000" w:type="dxa"/>
            <w:tcBorders>
              <w:top w:val="single" w:sz="4" w:space="0" w:color="BFC8D6"/>
              <w:left w:val="single" w:sz="4" w:space="0" w:color="BFC8D6"/>
              <w:bottom w:val="single" w:sz="4" w:space="0" w:color="BFC8D6"/>
              <w:right w:val="single" w:sz="4" w:space="0" w:color="BFC8D6"/>
            </w:tcBorders>
            <w:tcMar>
              <w:top w:w="70" w:type="dxa"/>
              <w:left w:w="80" w:type="dxa"/>
              <w:bottom w:w="70" w:type="dxa"/>
              <w:right w:w="80" w:type="dxa"/>
            </w:tcMar>
            <w:vAlign w:val="center"/>
          </w:tcPr>
          <w:p w14:paraId="0CFDCA2A" w14:textId="77777777" w:rsidR="00B37EB6" w:rsidRDefault="00000000">
            <w:pPr>
              <w:jc w:val="center"/>
            </w:pPr>
            <w:r>
              <w:rPr>
                <w:sz w:val="19"/>
                <w:szCs w:val="19"/>
              </w:rPr>
              <w:t>2.8</w:t>
            </w:r>
          </w:p>
        </w:tc>
        <w:tc>
          <w:tcPr>
            <w:tcW w:w="1000" w:type="dxa"/>
            <w:tcBorders>
              <w:top w:val="single" w:sz="4" w:space="0" w:color="BFC8D6"/>
              <w:left w:val="single" w:sz="4" w:space="0" w:color="BFC8D6"/>
              <w:bottom w:val="single" w:sz="4" w:space="0" w:color="BFC8D6"/>
              <w:right w:val="single" w:sz="4" w:space="0" w:color="BFC8D6"/>
            </w:tcBorders>
            <w:tcMar>
              <w:top w:w="70" w:type="dxa"/>
              <w:left w:w="80" w:type="dxa"/>
              <w:bottom w:w="70" w:type="dxa"/>
              <w:right w:w="80" w:type="dxa"/>
            </w:tcMar>
            <w:vAlign w:val="center"/>
          </w:tcPr>
          <w:p w14:paraId="7F416081" w14:textId="77777777" w:rsidR="00B37EB6" w:rsidRDefault="00000000">
            <w:pPr>
              <w:jc w:val="center"/>
            </w:pPr>
            <w:r>
              <w:rPr>
                <w:sz w:val="19"/>
                <w:szCs w:val="19"/>
              </w:rPr>
              <w:t>3.6</w:t>
            </w:r>
          </w:p>
        </w:tc>
        <w:tc>
          <w:tcPr>
            <w:tcW w:w="1000" w:type="dxa"/>
            <w:tcBorders>
              <w:top w:val="single" w:sz="4" w:space="0" w:color="BFC8D6"/>
              <w:left w:val="single" w:sz="4" w:space="0" w:color="BFC8D6"/>
              <w:bottom w:val="single" w:sz="4" w:space="0" w:color="BFC8D6"/>
              <w:right w:val="single" w:sz="4" w:space="0" w:color="BFC8D6"/>
            </w:tcBorders>
            <w:tcMar>
              <w:top w:w="70" w:type="dxa"/>
              <w:left w:w="80" w:type="dxa"/>
              <w:bottom w:w="70" w:type="dxa"/>
              <w:right w:w="80" w:type="dxa"/>
            </w:tcMar>
            <w:vAlign w:val="center"/>
          </w:tcPr>
          <w:p w14:paraId="0A203E5C" w14:textId="77777777" w:rsidR="00B37EB6" w:rsidRDefault="00000000">
            <w:pPr>
              <w:jc w:val="center"/>
            </w:pPr>
            <w:r>
              <w:rPr>
                <w:sz w:val="19"/>
                <w:szCs w:val="19"/>
              </w:rPr>
              <w:t>0.8</w:t>
            </w:r>
          </w:p>
        </w:tc>
      </w:tr>
    </w:tbl>
    <w:p w14:paraId="6718EE88" w14:textId="77777777" w:rsidR="00B37EB6" w:rsidRDefault="00B37EB6">
      <w:pPr>
        <w:spacing w:after="120"/>
      </w:pPr>
    </w:p>
    <w:p w14:paraId="4283CFF7" w14:textId="77777777" w:rsidR="00B37EB6" w:rsidRDefault="00000000">
      <w:pPr>
        <w:pStyle w:val="Heading1"/>
        <w:pBdr>
          <w:bottom w:val="single" w:sz="8" w:space="2" w:color="C9A227"/>
        </w:pBdr>
        <w:spacing w:before="300" w:after="120"/>
      </w:pPr>
      <w:r>
        <w:rPr>
          <w:b/>
          <w:bCs/>
          <w:color w:val="1F3864"/>
          <w:sz w:val="30"/>
          <w:szCs w:val="30"/>
        </w:rPr>
        <w:t>4. Segment profiles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1050"/>
        <w:gridCol w:w="2100"/>
        <w:gridCol w:w="1900"/>
        <w:gridCol w:w="1700"/>
        <w:gridCol w:w="1500"/>
      </w:tblGrid>
      <w:tr w:rsidR="00B37EB6" w14:paraId="600B1B0B" w14:textId="77777777">
        <w:tblPrEx>
          <w:tblCellMar>
            <w:top w:w="0" w:type="dxa"/>
            <w:bottom w:w="0" w:type="dxa"/>
          </w:tblCellMar>
        </w:tblPrEx>
        <w:trPr>
          <w:tblHeader/>
        </w:trPr>
        <w:tc>
          <w:tcPr>
            <w:tcW w:w="1150" w:type="dxa"/>
            <w:tcBorders>
              <w:top w:val="single" w:sz="4" w:space="0" w:color="BFC8D6"/>
              <w:left w:val="single" w:sz="4" w:space="0" w:color="BFC8D6"/>
              <w:bottom w:val="single" w:sz="4" w:space="0" w:color="BFC8D6"/>
              <w:right w:val="single" w:sz="4" w:space="0" w:color="BFC8D6"/>
            </w:tcBorders>
            <w:shd w:val="clear" w:color="auto" w:fill="1F3864"/>
            <w:tcMar>
              <w:top w:w="70" w:type="dxa"/>
              <w:left w:w="80" w:type="dxa"/>
              <w:bottom w:w="70" w:type="dxa"/>
              <w:right w:w="80" w:type="dxa"/>
            </w:tcMar>
            <w:vAlign w:val="center"/>
          </w:tcPr>
          <w:p w14:paraId="55CE1A89" w14:textId="77777777" w:rsidR="00B37EB6" w:rsidRDefault="00000000">
            <w:r>
              <w:rPr>
                <w:b/>
                <w:bCs/>
                <w:color w:val="FFFFFF"/>
                <w:sz w:val="18"/>
                <w:szCs w:val="18"/>
              </w:rPr>
              <w:t>Segment</w:t>
            </w:r>
          </w:p>
        </w:tc>
        <w:tc>
          <w:tcPr>
            <w:tcW w:w="1050" w:type="dxa"/>
            <w:tcBorders>
              <w:top w:val="single" w:sz="4" w:space="0" w:color="BFC8D6"/>
              <w:left w:val="single" w:sz="4" w:space="0" w:color="BFC8D6"/>
              <w:bottom w:val="single" w:sz="4" w:space="0" w:color="BFC8D6"/>
              <w:right w:val="single" w:sz="4" w:space="0" w:color="BFC8D6"/>
            </w:tcBorders>
            <w:shd w:val="clear" w:color="auto" w:fill="1F3864"/>
            <w:tcMar>
              <w:top w:w="70" w:type="dxa"/>
              <w:left w:w="80" w:type="dxa"/>
              <w:bottom w:w="70" w:type="dxa"/>
              <w:right w:w="80" w:type="dxa"/>
            </w:tcMar>
            <w:vAlign w:val="center"/>
          </w:tcPr>
          <w:p w14:paraId="5EDCD182" w14:textId="77777777" w:rsidR="00B37EB6" w:rsidRDefault="00000000">
            <w:pPr>
              <w:jc w:val="center"/>
            </w:pPr>
            <w:r>
              <w:rPr>
                <w:b/>
                <w:bCs/>
                <w:color w:val="FFFFFF"/>
                <w:sz w:val="18"/>
                <w:szCs w:val="18"/>
              </w:rPr>
              <w:t>Size</w:t>
            </w:r>
          </w:p>
        </w:tc>
        <w:tc>
          <w:tcPr>
            <w:tcW w:w="21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80" w:type="dxa"/>
              <w:bottom w:w="70" w:type="dxa"/>
              <w:right w:w="80" w:type="dxa"/>
            </w:tcMar>
            <w:vAlign w:val="center"/>
          </w:tcPr>
          <w:p w14:paraId="585E5CF7" w14:textId="77777777" w:rsidR="00B37EB6" w:rsidRDefault="00000000">
            <w:pPr>
              <w:jc w:val="center"/>
            </w:pPr>
            <w:r>
              <w:rPr>
                <w:b/>
                <w:bCs/>
                <w:color w:val="FFFFFF"/>
                <w:sz w:val="18"/>
                <w:szCs w:val="18"/>
              </w:rPr>
              <w:t>Most preferred</w:t>
            </w:r>
          </w:p>
        </w:tc>
        <w:tc>
          <w:tcPr>
            <w:tcW w:w="19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80" w:type="dxa"/>
              <w:bottom w:w="70" w:type="dxa"/>
              <w:right w:w="80" w:type="dxa"/>
            </w:tcMar>
            <w:vAlign w:val="center"/>
          </w:tcPr>
          <w:p w14:paraId="3721496C" w14:textId="77777777" w:rsidR="00B37EB6" w:rsidRDefault="00000000">
            <w:pPr>
              <w:jc w:val="center"/>
            </w:pPr>
            <w:r>
              <w:rPr>
                <w:b/>
                <w:bCs/>
                <w:color w:val="FFFFFF"/>
                <w:sz w:val="18"/>
                <w:szCs w:val="18"/>
              </w:rPr>
              <w:t>Middle</w:t>
            </w:r>
          </w:p>
        </w:tc>
        <w:tc>
          <w:tcPr>
            <w:tcW w:w="17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80" w:type="dxa"/>
              <w:bottom w:w="70" w:type="dxa"/>
              <w:right w:w="80" w:type="dxa"/>
            </w:tcMar>
            <w:vAlign w:val="center"/>
          </w:tcPr>
          <w:p w14:paraId="130A77F9" w14:textId="77777777" w:rsidR="00B37EB6" w:rsidRDefault="00000000">
            <w:pPr>
              <w:jc w:val="center"/>
            </w:pPr>
            <w:r>
              <w:rPr>
                <w:b/>
                <w:bCs/>
                <w:color w:val="FFFFFF"/>
                <w:sz w:val="18"/>
                <w:szCs w:val="18"/>
              </w:rPr>
              <w:t>Least preferred</w:t>
            </w:r>
          </w:p>
        </w:tc>
        <w:tc>
          <w:tcPr>
            <w:tcW w:w="15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80" w:type="dxa"/>
              <w:bottom w:w="70" w:type="dxa"/>
              <w:right w:w="80" w:type="dxa"/>
            </w:tcMar>
            <w:vAlign w:val="center"/>
          </w:tcPr>
          <w:p w14:paraId="13A946BA" w14:textId="77777777" w:rsidR="00B37EB6" w:rsidRDefault="00000000">
            <w:pPr>
              <w:jc w:val="center"/>
            </w:pPr>
            <w:r>
              <w:rPr>
                <w:b/>
                <w:bCs/>
                <w:color w:val="FFFFFF"/>
                <w:sz w:val="18"/>
                <w:szCs w:val="18"/>
              </w:rPr>
              <w:t>Working label</w:t>
            </w:r>
          </w:p>
        </w:tc>
      </w:tr>
      <w:tr w:rsidR="00B37EB6" w14:paraId="50695BB5" w14:textId="77777777">
        <w:tblPrEx>
          <w:tblCellMar>
            <w:top w:w="0" w:type="dxa"/>
            <w:bottom w:w="0" w:type="dxa"/>
          </w:tblCellMar>
        </w:tblPrEx>
        <w:tc>
          <w:tcPr>
            <w:tcW w:w="1150" w:type="dxa"/>
            <w:tcBorders>
              <w:top w:val="single" w:sz="4" w:space="0" w:color="BFC8D6"/>
              <w:left w:val="single" w:sz="4" w:space="0" w:color="BFC8D6"/>
              <w:bottom w:val="single" w:sz="4" w:space="0" w:color="BFC8D6"/>
              <w:right w:val="single" w:sz="4" w:space="0" w:color="BFC8D6"/>
            </w:tcBorders>
            <w:tcMar>
              <w:top w:w="70" w:type="dxa"/>
              <w:left w:w="80" w:type="dxa"/>
              <w:bottom w:w="70" w:type="dxa"/>
              <w:right w:w="80" w:type="dxa"/>
            </w:tcMar>
            <w:vAlign w:val="center"/>
          </w:tcPr>
          <w:p w14:paraId="25196E28" w14:textId="77777777" w:rsidR="00B37EB6" w:rsidRDefault="00000000">
            <w:r>
              <w:rPr>
                <w:b/>
                <w:bCs/>
                <w:sz w:val="18"/>
                <w:szCs w:val="18"/>
              </w:rPr>
              <w:t>Segment 1</w:t>
            </w:r>
          </w:p>
        </w:tc>
        <w:tc>
          <w:tcPr>
            <w:tcW w:w="1050" w:type="dxa"/>
            <w:tcBorders>
              <w:top w:val="single" w:sz="4" w:space="0" w:color="BFC8D6"/>
              <w:left w:val="single" w:sz="4" w:space="0" w:color="BFC8D6"/>
              <w:bottom w:val="single" w:sz="4" w:space="0" w:color="BFC8D6"/>
              <w:right w:val="single" w:sz="4" w:space="0" w:color="BFC8D6"/>
            </w:tcBorders>
            <w:tcMar>
              <w:top w:w="70" w:type="dxa"/>
              <w:left w:w="80" w:type="dxa"/>
              <w:bottom w:w="70" w:type="dxa"/>
              <w:right w:w="80" w:type="dxa"/>
            </w:tcMar>
            <w:vAlign w:val="center"/>
          </w:tcPr>
          <w:p w14:paraId="5BA3C35B" w14:textId="77777777" w:rsidR="00B37EB6" w:rsidRDefault="00000000">
            <w:r>
              <w:rPr>
                <w:sz w:val="18"/>
                <w:szCs w:val="18"/>
              </w:rPr>
              <w:t>4 (10%)</w:t>
            </w:r>
          </w:p>
        </w:tc>
        <w:tc>
          <w:tcPr>
            <w:tcW w:w="2100" w:type="dxa"/>
            <w:tcBorders>
              <w:top w:val="single" w:sz="4" w:space="0" w:color="BFC8D6"/>
              <w:left w:val="single" w:sz="4" w:space="0" w:color="BFC8D6"/>
              <w:bottom w:val="single" w:sz="4" w:space="0" w:color="BFC8D6"/>
              <w:right w:val="single" w:sz="4" w:space="0" w:color="BFC8D6"/>
            </w:tcBorders>
            <w:tcMar>
              <w:top w:w="70" w:type="dxa"/>
              <w:left w:w="80" w:type="dxa"/>
              <w:bottom w:w="70" w:type="dxa"/>
              <w:right w:w="80" w:type="dxa"/>
            </w:tcMar>
            <w:vAlign w:val="center"/>
          </w:tcPr>
          <w:p w14:paraId="348A5732" w14:textId="77777777" w:rsidR="00B37EB6" w:rsidRDefault="00000000">
            <w:r>
              <w:rPr>
                <w:sz w:val="18"/>
                <w:szCs w:val="18"/>
              </w:rPr>
              <w:t>Mutual Funds and Equity Market (1.5 each)</w:t>
            </w:r>
          </w:p>
        </w:tc>
        <w:tc>
          <w:tcPr>
            <w:tcW w:w="1900" w:type="dxa"/>
            <w:tcBorders>
              <w:top w:val="single" w:sz="4" w:space="0" w:color="BFC8D6"/>
              <w:left w:val="single" w:sz="4" w:space="0" w:color="BFC8D6"/>
              <w:bottom w:val="single" w:sz="4" w:space="0" w:color="BFC8D6"/>
              <w:right w:val="single" w:sz="4" w:space="0" w:color="BFC8D6"/>
            </w:tcBorders>
            <w:tcMar>
              <w:top w:w="70" w:type="dxa"/>
              <w:left w:w="80" w:type="dxa"/>
              <w:bottom w:w="70" w:type="dxa"/>
              <w:right w:w="80" w:type="dxa"/>
            </w:tcMar>
            <w:vAlign w:val="center"/>
          </w:tcPr>
          <w:p w14:paraId="3A3FEA89" w14:textId="77777777" w:rsidR="00B37EB6" w:rsidRDefault="00000000">
            <w:r>
              <w:rPr>
                <w:sz w:val="18"/>
                <w:szCs w:val="18"/>
              </w:rPr>
              <w:t>Debentures (3.5)</w:t>
            </w:r>
          </w:p>
        </w:tc>
        <w:tc>
          <w:tcPr>
            <w:tcW w:w="1700" w:type="dxa"/>
            <w:tcBorders>
              <w:top w:val="single" w:sz="4" w:space="0" w:color="BFC8D6"/>
              <w:left w:val="single" w:sz="4" w:space="0" w:color="BFC8D6"/>
              <w:bottom w:val="single" w:sz="4" w:space="0" w:color="BFC8D6"/>
              <w:right w:val="single" w:sz="4" w:space="0" w:color="BFC8D6"/>
            </w:tcBorders>
            <w:tcMar>
              <w:top w:w="70" w:type="dxa"/>
              <w:left w:w="80" w:type="dxa"/>
              <w:bottom w:w="70" w:type="dxa"/>
              <w:right w:w="80" w:type="dxa"/>
            </w:tcMar>
            <w:vAlign w:val="center"/>
          </w:tcPr>
          <w:p w14:paraId="41156DA6" w14:textId="77777777" w:rsidR="00B37EB6" w:rsidRDefault="00000000">
            <w:r>
              <w:rPr>
                <w:sz w:val="18"/>
                <w:szCs w:val="18"/>
              </w:rPr>
              <w:t>Fixed Deposits (5.5), Gold (5.8)</w:t>
            </w:r>
          </w:p>
        </w:tc>
        <w:tc>
          <w:tcPr>
            <w:tcW w:w="1500" w:type="dxa"/>
            <w:tcBorders>
              <w:top w:val="single" w:sz="4" w:space="0" w:color="BFC8D6"/>
              <w:left w:val="single" w:sz="4" w:space="0" w:color="BFC8D6"/>
              <w:bottom w:val="single" w:sz="4" w:space="0" w:color="BFC8D6"/>
              <w:right w:val="single" w:sz="4" w:space="0" w:color="BFC8D6"/>
            </w:tcBorders>
            <w:tcMar>
              <w:top w:w="70" w:type="dxa"/>
              <w:left w:w="80" w:type="dxa"/>
              <w:bottom w:w="70" w:type="dxa"/>
              <w:right w:w="80" w:type="dxa"/>
            </w:tcMar>
            <w:vAlign w:val="center"/>
          </w:tcPr>
          <w:p w14:paraId="6E1C5803" w14:textId="77777777" w:rsidR="00B37EB6" w:rsidRDefault="00000000">
            <w:r>
              <w:rPr>
                <w:sz w:val="18"/>
                <w:szCs w:val="18"/>
              </w:rPr>
              <w:t>Growth-oriented, market-linked</w:t>
            </w:r>
          </w:p>
        </w:tc>
      </w:tr>
      <w:tr w:rsidR="00B37EB6" w14:paraId="0B58E23B" w14:textId="77777777">
        <w:tblPrEx>
          <w:tblCellMar>
            <w:top w:w="0" w:type="dxa"/>
            <w:bottom w:w="0" w:type="dxa"/>
          </w:tblCellMar>
        </w:tblPrEx>
        <w:tc>
          <w:tcPr>
            <w:tcW w:w="1150" w:type="dxa"/>
            <w:tcBorders>
              <w:top w:val="single" w:sz="4" w:space="0" w:color="BFC8D6"/>
              <w:left w:val="single" w:sz="4" w:space="0" w:color="BFC8D6"/>
              <w:bottom w:val="single" w:sz="4" w:space="0" w:color="BFC8D6"/>
              <w:right w:val="single" w:sz="4" w:space="0" w:color="BFC8D6"/>
            </w:tcBorders>
            <w:shd w:val="clear" w:color="auto" w:fill="EEF2F8"/>
            <w:tcMar>
              <w:top w:w="70" w:type="dxa"/>
              <w:left w:w="80" w:type="dxa"/>
              <w:bottom w:w="70" w:type="dxa"/>
              <w:right w:w="80" w:type="dxa"/>
            </w:tcMar>
            <w:vAlign w:val="center"/>
          </w:tcPr>
          <w:p w14:paraId="74F008E4" w14:textId="77777777" w:rsidR="00B37EB6" w:rsidRDefault="00000000">
            <w:r>
              <w:rPr>
                <w:b/>
                <w:bCs/>
                <w:sz w:val="18"/>
                <w:szCs w:val="18"/>
              </w:rPr>
              <w:t>Segment 2</w:t>
            </w:r>
          </w:p>
        </w:tc>
        <w:tc>
          <w:tcPr>
            <w:tcW w:w="1050" w:type="dxa"/>
            <w:tcBorders>
              <w:top w:val="single" w:sz="4" w:space="0" w:color="BFC8D6"/>
              <w:left w:val="single" w:sz="4" w:space="0" w:color="BFC8D6"/>
              <w:bottom w:val="single" w:sz="4" w:space="0" w:color="BFC8D6"/>
              <w:right w:val="single" w:sz="4" w:space="0" w:color="BFC8D6"/>
            </w:tcBorders>
            <w:shd w:val="clear" w:color="auto" w:fill="EEF2F8"/>
            <w:tcMar>
              <w:top w:w="70" w:type="dxa"/>
              <w:left w:w="80" w:type="dxa"/>
              <w:bottom w:w="70" w:type="dxa"/>
              <w:right w:w="80" w:type="dxa"/>
            </w:tcMar>
            <w:vAlign w:val="center"/>
          </w:tcPr>
          <w:p w14:paraId="37920060" w14:textId="77777777" w:rsidR="00B37EB6" w:rsidRDefault="00000000">
            <w:r>
              <w:rPr>
                <w:sz w:val="18"/>
                <w:szCs w:val="18"/>
              </w:rPr>
              <w:t>31 (77.5%)</w:t>
            </w:r>
          </w:p>
        </w:tc>
        <w:tc>
          <w:tcPr>
            <w:tcW w:w="2100" w:type="dxa"/>
            <w:tcBorders>
              <w:top w:val="single" w:sz="4" w:space="0" w:color="BFC8D6"/>
              <w:left w:val="single" w:sz="4" w:space="0" w:color="BFC8D6"/>
              <w:bottom w:val="single" w:sz="4" w:space="0" w:color="BFC8D6"/>
              <w:right w:val="single" w:sz="4" w:space="0" w:color="BFC8D6"/>
            </w:tcBorders>
            <w:shd w:val="clear" w:color="auto" w:fill="EEF2F8"/>
            <w:tcMar>
              <w:top w:w="70" w:type="dxa"/>
              <w:left w:w="80" w:type="dxa"/>
              <w:bottom w:w="70" w:type="dxa"/>
              <w:right w:w="80" w:type="dxa"/>
            </w:tcMar>
            <w:vAlign w:val="center"/>
          </w:tcPr>
          <w:p w14:paraId="77252BED" w14:textId="77777777" w:rsidR="00B37EB6" w:rsidRDefault="00000000">
            <w:r>
              <w:rPr>
                <w:sz w:val="18"/>
                <w:szCs w:val="18"/>
              </w:rPr>
              <w:t>PPF (1.6), Mutual Funds (2.5)</w:t>
            </w:r>
          </w:p>
        </w:tc>
        <w:tc>
          <w:tcPr>
            <w:tcW w:w="1900" w:type="dxa"/>
            <w:tcBorders>
              <w:top w:val="single" w:sz="4" w:space="0" w:color="BFC8D6"/>
              <w:left w:val="single" w:sz="4" w:space="0" w:color="BFC8D6"/>
              <w:bottom w:val="single" w:sz="4" w:space="0" w:color="BFC8D6"/>
              <w:right w:val="single" w:sz="4" w:space="0" w:color="BFC8D6"/>
            </w:tcBorders>
            <w:shd w:val="clear" w:color="auto" w:fill="EEF2F8"/>
            <w:tcMar>
              <w:top w:w="70" w:type="dxa"/>
              <w:left w:w="80" w:type="dxa"/>
              <w:bottom w:w="70" w:type="dxa"/>
              <w:right w:w="80" w:type="dxa"/>
            </w:tcMar>
            <w:vAlign w:val="center"/>
          </w:tcPr>
          <w:p w14:paraId="6813271F" w14:textId="77777777" w:rsidR="00B37EB6" w:rsidRDefault="00000000">
            <w:r>
              <w:rPr>
                <w:sz w:val="18"/>
                <w:szCs w:val="18"/>
              </w:rPr>
              <w:t>Fixed Deposits (3.0), Equity Market (3.5)</w:t>
            </w:r>
          </w:p>
        </w:tc>
        <w:tc>
          <w:tcPr>
            <w:tcW w:w="1700" w:type="dxa"/>
            <w:tcBorders>
              <w:top w:val="single" w:sz="4" w:space="0" w:color="BFC8D6"/>
              <w:left w:val="single" w:sz="4" w:space="0" w:color="BFC8D6"/>
              <w:bottom w:val="single" w:sz="4" w:space="0" w:color="BFC8D6"/>
              <w:right w:val="single" w:sz="4" w:space="0" w:color="BFC8D6"/>
            </w:tcBorders>
            <w:shd w:val="clear" w:color="auto" w:fill="EEF2F8"/>
            <w:tcMar>
              <w:top w:w="70" w:type="dxa"/>
              <w:left w:w="80" w:type="dxa"/>
              <w:bottom w:w="70" w:type="dxa"/>
              <w:right w:w="80" w:type="dxa"/>
            </w:tcMar>
            <w:vAlign w:val="center"/>
          </w:tcPr>
          <w:p w14:paraId="41D0AC33" w14:textId="77777777" w:rsidR="00B37EB6" w:rsidRDefault="00000000">
            <w:r>
              <w:rPr>
                <w:sz w:val="18"/>
                <w:szCs w:val="18"/>
              </w:rPr>
              <w:t>Debentures (6.5), Gold (5.9)</w:t>
            </w:r>
          </w:p>
        </w:tc>
        <w:tc>
          <w:tcPr>
            <w:tcW w:w="1500" w:type="dxa"/>
            <w:tcBorders>
              <w:top w:val="single" w:sz="4" w:space="0" w:color="BFC8D6"/>
              <w:left w:val="single" w:sz="4" w:space="0" w:color="BFC8D6"/>
              <w:bottom w:val="single" w:sz="4" w:space="0" w:color="BFC8D6"/>
              <w:right w:val="single" w:sz="4" w:space="0" w:color="BFC8D6"/>
            </w:tcBorders>
            <w:shd w:val="clear" w:color="auto" w:fill="EEF2F8"/>
            <w:tcMar>
              <w:top w:w="70" w:type="dxa"/>
              <w:left w:w="80" w:type="dxa"/>
              <w:bottom w:w="70" w:type="dxa"/>
              <w:right w:w="80" w:type="dxa"/>
            </w:tcMar>
            <w:vAlign w:val="center"/>
          </w:tcPr>
          <w:p w14:paraId="7D6AF57E" w14:textId="77777777" w:rsidR="00B37EB6" w:rsidRDefault="00000000">
            <w:r>
              <w:rPr>
                <w:sz w:val="18"/>
                <w:szCs w:val="18"/>
              </w:rPr>
              <w:t>Safety-first with a mutual fund tilt</w:t>
            </w:r>
          </w:p>
        </w:tc>
      </w:tr>
      <w:tr w:rsidR="00B37EB6" w14:paraId="49BDF0D6" w14:textId="77777777">
        <w:tblPrEx>
          <w:tblCellMar>
            <w:top w:w="0" w:type="dxa"/>
            <w:bottom w:w="0" w:type="dxa"/>
          </w:tblCellMar>
        </w:tblPrEx>
        <w:tc>
          <w:tcPr>
            <w:tcW w:w="1150" w:type="dxa"/>
            <w:tcBorders>
              <w:top w:val="single" w:sz="4" w:space="0" w:color="BFC8D6"/>
              <w:left w:val="single" w:sz="4" w:space="0" w:color="BFC8D6"/>
              <w:bottom w:val="single" w:sz="4" w:space="0" w:color="BFC8D6"/>
              <w:right w:val="single" w:sz="4" w:space="0" w:color="BFC8D6"/>
            </w:tcBorders>
            <w:tcMar>
              <w:top w:w="70" w:type="dxa"/>
              <w:left w:w="80" w:type="dxa"/>
              <w:bottom w:w="70" w:type="dxa"/>
              <w:right w:w="80" w:type="dxa"/>
            </w:tcMar>
            <w:vAlign w:val="center"/>
          </w:tcPr>
          <w:p w14:paraId="6BEBA3DC" w14:textId="77777777" w:rsidR="00B37EB6" w:rsidRDefault="00000000">
            <w:r>
              <w:rPr>
                <w:b/>
                <w:bCs/>
                <w:sz w:val="18"/>
                <w:szCs w:val="18"/>
              </w:rPr>
              <w:t>Segment 3</w:t>
            </w:r>
          </w:p>
        </w:tc>
        <w:tc>
          <w:tcPr>
            <w:tcW w:w="1050" w:type="dxa"/>
            <w:tcBorders>
              <w:top w:val="single" w:sz="4" w:space="0" w:color="BFC8D6"/>
              <w:left w:val="single" w:sz="4" w:space="0" w:color="BFC8D6"/>
              <w:bottom w:val="single" w:sz="4" w:space="0" w:color="BFC8D6"/>
              <w:right w:val="single" w:sz="4" w:space="0" w:color="BFC8D6"/>
            </w:tcBorders>
            <w:tcMar>
              <w:top w:w="70" w:type="dxa"/>
              <w:left w:w="80" w:type="dxa"/>
              <w:bottom w:w="70" w:type="dxa"/>
              <w:right w:w="80" w:type="dxa"/>
            </w:tcMar>
            <w:vAlign w:val="center"/>
          </w:tcPr>
          <w:p w14:paraId="49FA1220" w14:textId="77777777" w:rsidR="00B37EB6" w:rsidRDefault="00000000">
            <w:r>
              <w:rPr>
                <w:sz w:val="18"/>
                <w:szCs w:val="18"/>
              </w:rPr>
              <w:t>5 (12.5%)</w:t>
            </w:r>
          </w:p>
        </w:tc>
        <w:tc>
          <w:tcPr>
            <w:tcW w:w="2100" w:type="dxa"/>
            <w:tcBorders>
              <w:top w:val="single" w:sz="4" w:space="0" w:color="BFC8D6"/>
              <w:left w:val="single" w:sz="4" w:space="0" w:color="BFC8D6"/>
              <w:bottom w:val="single" w:sz="4" w:space="0" w:color="BFC8D6"/>
              <w:right w:val="single" w:sz="4" w:space="0" w:color="BFC8D6"/>
            </w:tcBorders>
            <w:tcMar>
              <w:top w:w="70" w:type="dxa"/>
              <w:left w:w="80" w:type="dxa"/>
              <w:bottom w:w="70" w:type="dxa"/>
              <w:right w:w="80" w:type="dxa"/>
            </w:tcMar>
            <w:vAlign w:val="center"/>
          </w:tcPr>
          <w:p w14:paraId="19964259" w14:textId="77777777" w:rsidR="00B37EB6" w:rsidRDefault="00000000">
            <w:r>
              <w:rPr>
                <w:sz w:val="18"/>
                <w:szCs w:val="18"/>
              </w:rPr>
              <w:t>Government Bonds (1.8), PPF (2.4)</w:t>
            </w:r>
          </w:p>
        </w:tc>
        <w:tc>
          <w:tcPr>
            <w:tcW w:w="1900" w:type="dxa"/>
            <w:tcBorders>
              <w:top w:val="single" w:sz="4" w:space="0" w:color="BFC8D6"/>
              <w:left w:val="single" w:sz="4" w:space="0" w:color="BFC8D6"/>
              <w:bottom w:val="single" w:sz="4" w:space="0" w:color="BFC8D6"/>
              <w:right w:val="single" w:sz="4" w:space="0" w:color="BFC8D6"/>
            </w:tcBorders>
            <w:tcMar>
              <w:top w:w="70" w:type="dxa"/>
              <w:left w:w="80" w:type="dxa"/>
              <w:bottom w:w="70" w:type="dxa"/>
              <w:right w:w="80" w:type="dxa"/>
            </w:tcMar>
            <w:vAlign w:val="center"/>
          </w:tcPr>
          <w:p w14:paraId="347C1950" w14:textId="77777777" w:rsidR="00B37EB6" w:rsidRDefault="00000000">
            <w:r>
              <w:rPr>
                <w:sz w:val="18"/>
                <w:szCs w:val="18"/>
              </w:rPr>
              <w:t>Debentures (2.8), Mutual Funds (3.8)</w:t>
            </w:r>
          </w:p>
        </w:tc>
        <w:tc>
          <w:tcPr>
            <w:tcW w:w="1700" w:type="dxa"/>
            <w:tcBorders>
              <w:top w:val="single" w:sz="4" w:space="0" w:color="BFC8D6"/>
              <w:left w:val="single" w:sz="4" w:space="0" w:color="BFC8D6"/>
              <w:bottom w:val="single" w:sz="4" w:space="0" w:color="BFC8D6"/>
              <w:right w:val="single" w:sz="4" w:space="0" w:color="BFC8D6"/>
            </w:tcBorders>
            <w:tcMar>
              <w:top w:w="70" w:type="dxa"/>
              <w:left w:w="80" w:type="dxa"/>
              <w:bottom w:w="70" w:type="dxa"/>
              <w:right w:w="80" w:type="dxa"/>
            </w:tcMar>
            <w:vAlign w:val="center"/>
          </w:tcPr>
          <w:p w14:paraId="17E3E8C2" w14:textId="77777777" w:rsidR="00B37EB6" w:rsidRDefault="00000000">
            <w:r>
              <w:rPr>
                <w:sz w:val="18"/>
                <w:szCs w:val="18"/>
              </w:rPr>
              <w:t>Gold (6.6), Fixed Deposits (5.8)</w:t>
            </w:r>
          </w:p>
        </w:tc>
        <w:tc>
          <w:tcPr>
            <w:tcW w:w="1500" w:type="dxa"/>
            <w:tcBorders>
              <w:top w:val="single" w:sz="4" w:space="0" w:color="BFC8D6"/>
              <w:left w:val="single" w:sz="4" w:space="0" w:color="BFC8D6"/>
              <w:bottom w:val="single" w:sz="4" w:space="0" w:color="BFC8D6"/>
              <w:right w:val="single" w:sz="4" w:space="0" w:color="BFC8D6"/>
            </w:tcBorders>
            <w:tcMar>
              <w:top w:w="70" w:type="dxa"/>
              <w:left w:w="80" w:type="dxa"/>
              <w:bottom w:w="70" w:type="dxa"/>
              <w:right w:w="80" w:type="dxa"/>
            </w:tcMar>
            <w:vAlign w:val="center"/>
          </w:tcPr>
          <w:p w14:paraId="1D651406" w14:textId="77777777" w:rsidR="00B37EB6" w:rsidRDefault="00000000">
            <w:r>
              <w:rPr>
                <w:sz w:val="18"/>
                <w:szCs w:val="18"/>
              </w:rPr>
              <w:t>Bond and fixed-income oriented</w:t>
            </w:r>
          </w:p>
        </w:tc>
      </w:tr>
    </w:tbl>
    <w:p w14:paraId="16CD2699" w14:textId="77777777" w:rsidR="00B37EB6" w:rsidRDefault="00B37EB6">
      <w:pPr>
        <w:spacing w:after="120"/>
      </w:pPr>
    </w:p>
    <w:p w14:paraId="574E81CA" w14:textId="77777777" w:rsidR="00B37EB6" w:rsidRDefault="00000000">
      <w:pPr>
        <w:spacing w:after="120" w:line="300" w:lineRule="auto"/>
      </w:pPr>
      <w:r>
        <w:t>The working labels in the last column are descriptive names chosen for this report. They were not provided with the data.</w:t>
      </w:r>
    </w:p>
    <w:p w14:paraId="79D603C9" w14:textId="77777777" w:rsidR="00B37EB6" w:rsidRDefault="00000000">
      <w:pPr>
        <w:pStyle w:val="Heading2"/>
        <w:spacing w:before="200" w:after="80"/>
      </w:pPr>
      <w:r>
        <w:rPr>
          <w:b/>
          <w:bCs/>
          <w:color w:val="1F3864"/>
          <w:sz w:val="25"/>
          <w:szCs w:val="25"/>
        </w:rPr>
        <w:t>Segment 1: growth-oriented (n=4)</w:t>
      </w:r>
    </w:p>
    <w:p w14:paraId="225C3B52" w14:textId="77777777" w:rsidR="00B37EB6" w:rsidRDefault="00000000">
      <w:pPr>
        <w:spacing w:after="120" w:line="300" w:lineRule="auto"/>
      </w:pPr>
      <w:r>
        <w:t>These investors give their top two ranks to Mutual Funds and Equity Market (1.5 each), with Debentures a distant third (3.5). They rank every safer option below the middle: Government Bonds 5.0, PPF 5.2, Fixed Deposits 5.5 and Gold 5.8. This is the only group that actively prefers market-linked products, but with four respondents it is a very thin base.</w:t>
      </w:r>
    </w:p>
    <w:p w14:paraId="475C71A9" w14:textId="77777777" w:rsidR="00B37EB6" w:rsidRDefault="00000000">
      <w:pPr>
        <w:pStyle w:val="Heading2"/>
        <w:spacing w:before="200" w:after="80"/>
      </w:pPr>
      <w:r>
        <w:rPr>
          <w:b/>
          <w:bCs/>
          <w:color w:val="1F3864"/>
          <w:sz w:val="25"/>
          <w:szCs w:val="25"/>
        </w:rPr>
        <w:t>Segment 2: safety-first with a mutual fund tilt (n=31)</w:t>
      </w:r>
    </w:p>
    <w:p w14:paraId="40813510" w14:textId="77777777" w:rsidR="00B37EB6" w:rsidRDefault="00000000">
      <w:pPr>
        <w:spacing w:after="120" w:line="300" w:lineRule="auto"/>
      </w:pPr>
      <w:r>
        <w:t>The dominant group prefers PPF (1.6) clearly over everything else, with Mutual Funds (2.5), Fixed Deposits (3.0) and Equity Market (3.5) following. It rejects Debentures strongly (6.5), the second-worst score in the chart after Segment 3's Gold (6.6), and also ranks Gold (5.9) and Government Bonds (5.1) low. Their mix of PPF, mutual funds and fixed deposits suggests tax-efficient, steady-growth saving, though the data do not state their motives.</w:t>
      </w:r>
    </w:p>
    <w:p w14:paraId="37DD8A65" w14:textId="77777777" w:rsidR="00B37EB6" w:rsidRDefault="00000000">
      <w:pPr>
        <w:pStyle w:val="Heading2"/>
        <w:spacing w:before="200" w:after="80"/>
      </w:pPr>
      <w:r>
        <w:rPr>
          <w:b/>
          <w:bCs/>
          <w:color w:val="1F3864"/>
          <w:sz w:val="25"/>
          <w:szCs w:val="25"/>
        </w:rPr>
        <w:t>Segment 3: bond and fixed-income oriented (n=5)</w:t>
      </w:r>
    </w:p>
    <w:p w14:paraId="49130787" w14:textId="77777777" w:rsidR="00B37EB6" w:rsidRDefault="00000000">
      <w:pPr>
        <w:spacing w:after="120" w:line="300" w:lineRule="auto"/>
      </w:pPr>
      <w:r>
        <w:lastRenderedPageBreak/>
        <w:t>Government Bonds (1.8) lead for this group, followed by PPF (2.4) and Debentures (2.8). Mutual Funds sit in the middle (3.8), Equity Market is below it (4.8), and Fixed Deposits (5.8) and Gold (6.6) are the least liked. Gold at 6.6 is the lowest preference score in the whole chart.</w:t>
      </w:r>
    </w:p>
    <w:p w14:paraId="7A14A0C7" w14:textId="77777777" w:rsidR="00B37EB6" w:rsidRDefault="00000000">
      <w:pPr>
        <w:pStyle w:val="Heading1"/>
        <w:pBdr>
          <w:bottom w:val="single" w:sz="8" w:space="2" w:color="C9A227"/>
        </w:pBdr>
        <w:spacing w:before="300" w:after="120"/>
      </w:pPr>
      <w:r>
        <w:rPr>
          <w:b/>
          <w:bCs/>
          <w:color w:val="1F3864"/>
          <w:sz w:val="30"/>
          <w:szCs w:val="30"/>
        </w:rPr>
        <w:t>5. Patterns across segments</w:t>
      </w:r>
    </w:p>
    <w:p w14:paraId="0468F13A" w14:textId="77777777" w:rsidR="00B37EB6" w:rsidRDefault="00000000">
      <w:pPr>
        <w:pStyle w:val="ListParagraph"/>
        <w:numPr>
          <w:ilvl w:val="0"/>
          <w:numId w:val="2"/>
        </w:numPr>
        <w:spacing w:after="80" w:line="290" w:lineRule="auto"/>
      </w:pPr>
      <w:r>
        <w:rPr>
          <w:b/>
          <w:bCs/>
        </w:rPr>
        <w:t xml:space="preserve">PPF and Mutual Funds are the most broadly accepted. </w:t>
      </w:r>
      <w:r>
        <w:t>Both rank in the top three for at least two segments. PPF has the best score for Segment 2 and is second for Segment 3, but is poorly ranked by Segment 1 (5.2).</w:t>
      </w:r>
    </w:p>
    <w:p w14:paraId="48FAE628" w14:textId="77777777" w:rsidR="00B37EB6" w:rsidRDefault="00000000">
      <w:pPr>
        <w:pStyle w:val="ListParagraph"/>
        <w:numPr>
          <w:ilvl w:val="0"/>
          <w:numId w:val="2"/>
        </w:numPr>
        <w:spacing w:after="80" w:line="290" w:lineRule="auto"/>
      </w:pPr>
      <w:r>
        <w:rPr>
          <w:b/>
          <w:bCs/>
        </w:rPr>
        <w:t xml:space="preserve">Equity Market is polarising. </w:t>
      </w:r>
      <w:r>
        <w:t>It is joint first for Segment 1 (1.5) but fourth for Segment 2 (3.5) and fifth for Segment 3 (4.8).</w:t>
      </w:r>
    </w:p>
    <w:p w14:paraId="5C5C6D30" w14:textId="77777777" w:rsidR="00B37EB6" w:rsidRDefault="00000000">
      <w:pPr>
        <w:pStyle w:val="ListParagraph"/>
        <w:numPr>
          <w:ilvl w:val="0"/>
          <w:numId w:val="2"/>
        </w:numPr>
        <w:spacing w:after="80" w:line="290" w:lineRule="auto"/>
      </w:pPr>
      <w:r>
        <w:rPr>
          <w:b/>
          <w:bCs/>
        </w:rPr>
        <w:t xml:space="preserve">Fixed Deposits and Government Bonds separate Segments 2 and 3. </w:t>
      </w:r>
      <w:r>
        <w:t>Segment 2 likes Fixed Deposits (3.0) and is lukewarm on Government Bonds (5.1), while Segment 3 shows the opposite (5.8 and 1.8).</w:t>
      </w:r>
    </w:p>
    <w:p w14:paraId="60D5B06A" w14:textId="77777777" w:rsidR="00B37EB6" w:rsidRDefault="00000000">
      <w:pPr>
        <w:pStyle w:val="ListParagraph"/>
        <w:numPr>
          <w:ilvl w:val="0"/>
          <w:numId w:val="2"/>
        </w:numPr>
        <w:spacing w:after="80" w:line="290" w:lineRule="auto"/>
      </w:pPr>
      <w:r>
        <w:rPr>
          <w:b/>
          <w:bCs/>
        </w:rPr>
        <w:t xml:space="preserve">Gold is not a core holding for anyone. </w:t>
      </w:r>
      <w:r>
        <w:t>All three segments rank it sixth or seventh, so it is better treated as a niche or diversifying option than a headline product.</w:t>
      </w:r>
    </w:p>
    <w:p w14:paraId="00DDB485" w14:textId="77777777" w:rsidR="00B37EB6" w:rsidRDefault="00000000">
      <w:pPr>
        <w:pStyle w:val="Heading1"/>
        <w:pBdr>
          <w:bottom w:val="single" w:sz="8" w:space="2" w:color="C9A227"/>
        </w:pBdr>
        <w:spacing w:before="300" w:after="120"/>
      </w:pPr>
      <w:r>
        <w:rPr>
          <w:b/>
          <w:bCs/>
          <w:color w:val="1F3864"/>
          <w:sz w:val="30"/>
          <w:szCs w:val="30"/>
        </w:rPr>
        <w:t>6. Caveats</w:t>
      </w:r>
    </w:p>
    <w:p w14:paraId="5462F5E8" w14:textId="77777777" w:rsidR="00B37EB6" w:rsidRDefault="00000000">
      <w:pPr>
        <w:pStyle w:val="ListParagraph"/>
        <w:numPr>
          <w:ilvl w:val="0"/>
          <w:numId w:val="2"/>
        </w:numPr>
        <w:spacing w:after="80" w:line="290" w:lineRule="auto"/>
      </w:pPr>
      <w:r>
        <w:rPr>
          <w:b/>
          <w:bCs/>
        </w:rPr>
        <w:t xml:space="preserve">Very small groups. </w:t>
      </w:r>
      <w:r>
        <w:t>With 4 and 5 respondents, Segments 1 and 3 are fragile. A mean rank of 1.5 with n=4 can come from just two different orderings.</w:t>
      </w:r>
    </w:p>
    <w:p w14:paraId="7380A9D5" w14:textId="77777777" w:rsidR="00B37EB6" w:rsidRDefault="00000000">
      <w:pPr>
        <w:pStyle w:val="ListParagraph"/>
        <w:numPr>
          <w:ilvl w:val="0"/>
          <w:numId w:val="2"/>
        </w:numPr>
        <w:spacing w:after="80" w:line="290" w:lineRule="auto"/>
      </w:pPr>
      <w:r>
        <w:rPr>
          <w:b/>
          <w:bCs/>
        </w:rPr>
        <w:t xml:space="preserve">Means hide the spread. </w:t>
      </w:r>
      <w:r>
        <w:t>A mean rank does not show whether a segment agrees internally. Segment 2 is large enough that its mean probably hides several sub-preferences.</w:t>
      </w:r>
    </w:p>
    <w:p w14:paraId="2A0052E8" w14:textId="77777777" w:rsidR="00B37EB6" w:rsidRDefault="00000000">
      <w:pPr>
        <w:pStyle w:val="ListParagraph"/>
        <w:numPr>
          <w:ilvl w:val="0"/>
          <w:numId w:val="2"/>
        </w:numPr>
        <w:spacing w:after="80" w:line="290" w:lineRule="auto"/>
      </w:pPr>
      <w:r>
        <w:rPr>
          <w:b/>
          <w:bCs/>
        </w:rPr>
        <w:t xml:space="preserve">Ranks are linked. </w:t>
      </w:r>
      <w:r>
        <w:t>Ranking one avenue higher pushes the others down, so the columns are not independent measures of liking.</w:t>
      </w:r>
    </w:p>
    <w:p w14:paraId="697951F0" w14:textId="77777777" w:rsidR="00B37EB6" w:rsidRDefault="00000000">
      <w:pPr>
        <w:pStyle w:val="ListParagraph"/>
        <w:numPr>
          <w:ilvl w:val="0"/>
          <w:numId w:val="2"/>
        </w:numPr>
        <w:spacing w:after="80" w:line="290" w:lineRule="auto"/>
      </w:pPr>
      <w:r>
        <w:rPr>
          <w:b/>
          <w:bCs/>
        </w:rPr>
        <w:t xml:space="preserve">Unknown segmentation method. </w:t>
      </w:r>
      <w:r>
        <w:t>The chart does not say how respondents were assigned to segments, nor how stable the groups are if the method is rerun.</w:t>
      </w:r>
    </w:p>
    <w:p w14:paraId="6E496536" w14:textId="77777777" w:rsidR="00B37EB6" w:rsidRDefault="00000000">
      <w:pPr>
        <w:pStyle w:val="ListParagraph"/>
        <w:numPr>
          <w:ilvl w:val="0"/>
          <w:numId w:val="2"/>
        </w:numPr>
        <w:spacing w:after="80" w:line="290" w:lineRule="auto"/>
      </w:pPr>
      <w:r>
        <w:rPr>
          <w:b/>
          <w:bCs/>
        </w:rPr>
        <w:t xml:space="preserve">A possible mismatch with the Avenue target. </w:t>
      </w:r>
      <w:r>
        <w:t>In the earlier classification results only 3 of 40 respondents had PPF as their Avenue, yet Segment 2 (31 people) ranks PPF first on average. The Avenue target may record a different thing from the preference ranking, such as current holdings, and that should be confirmed before the two are combined.</w:t>
      </w:r>
    </w:p>
    <w:p w14:paraId="10BCC095" w14:textId="77777777" w:rsidR="00B37EB6" w:rsidRDefault="00000000">
      <w:pPr>
        <w:pStyle w:val="Heading1"/>
        <w:pBdr>
          <w:bottom w:val="single" w:sz="8" w:space="2" w:color="C9A227"/>
        </w:pBdr>
        <w:spacing w:before="300" w:after="120"/>
      </w:pPr>
      <w:r>
        <w:rPr>
          <w:b/>
          <w:bCs/>
          <w:color w:val="1F3864"/>
          <w:sz w:val="30"/>
          <w:szCs w:val="30"/>
        </w:rPr>
        <w:t>7. Recommendations</w:t>
      </w:r>
    </w:p>
    <w:p w14:paraId="3434C043" w14:textId="77777777" w:rsidR="00B37EB6" w:rsidRDefault="00000000">
      <w:pPr>
        <w:pStyle w:val="ListParagraph"/>
        <w:numPr>
          <w:ilvl w:val="0"/>
          <w:numId w:val="2"/>
        </w:numPr>
        <w:spacing w:after="80" w:line="290" w:lineRule="auto"/>
      </w:pPr>
      <w:r>
        <w:t>Lead product messaging for the majority (Segment 2) with PPF, supported by mutual funds and fixed deposits, and avoid pushing debentures to this group.</w:t>
      </w:r>
    </w:p>
    <w:p w14:paraId="66C0A3A7" w14:textId="77777777" w:rsidR="00B37EB6" w:rsidRDefault="00000000">
      <w:pPr>
        <w:pStyle w:val="ListParagraph"/>
        <w:numPr>
          <w:ilvl w:val="0"/>
          <w:numId w:val="2"/>
        </w:numPr>
        <w:spacing w:after="80" w:line="290" w:lineRule="auto"/>
      </w:pPr>
      <w:r>
        <w:t>Offer Segment 1 equity and mutual fund content, and Segment 3 a government bond and debenture focus, while recognising how small these groups are.</w:t>
      </w:r>
    </w:p>
    <w:p w14:paraId="07532B4B" w14:textId="77777777" w:rsidR="00B37EB6" w:rsidRDefault="00000000">
      <w:pPr>
        <w:pStyle w:val="ListParagraph"/>
        <w:numPr>
          <w:ilvl w:val="0"/>
          <w:numId w:val="2"/>
        </w:numPr>
        <w:spacing w:after="80" w:line="290" w:lineRule="auto"/>
      </w:pPr>
      <w:r>
        <w:t>Collect more respondents, especially for Segments 1 and 3, before building separate strategies on them.</w:t>
      </w:r>
    </w:p>
    <w:p w14:paraId="1CB085C2" w14:textId="77777777" w:rsidR="00B37EB6" w:rsidRDefault="00000000">
      <w:pPr>
        <w:pStyle w:val="ListParagraph"/>
        <w:numPr>
          <w:ilvl w:val="0"/>
          <w:numId w:val="2"/>
        </w:numPr>
        <w:spacing w:after="80" w:line="290" w:lineRule="auto"/>
      </w:pPr>
      <w:r>
        <w:t>Report the spread of ranks (standard deviation or the share ranking each avenue first) alongside the means.</w:t>
      </w:r>
    </w:p>
    <w:p w14:paraId="3B082F14" w14:textId="77777777" w:rsidR="00B37EB6" w:rsidRDefault="00000000">
      <w:pPr>
        <w:pStyle w:val="ListParagraph"/>
        <w:numPr>
          <w:ilvl w:val="0"/>
          <w:numId w:val="2"/>
        </w:numPr>
        <w:spacing w:after="80" w:line="290" w:lineRule="auto"/>
      </w:pPr>
      <w:r>
        <w:lastRenderedPageBreak/>
        <w:t>Test segment membership as an input to the earlier prediction models, for example for the Horizon target, and reconcile the Avenue label with these preference ranks.</w:t>
      </w:r>
    </w:p>
    <w:p w14:paraId="4402F6AB" w14:textId="77777777" w:rsidR="00B37EB6" w:rsidRDefault="00000000">
      <w:pPr>
        <w:pStyle w:val="ListParagraph"/>
        <w:numPr>
          <w:ilvl w:val="0"/>
          <w:numId w:val="2"/>
        </w:numPr>
        <w:spacing w:after="80" w:line="290" w:lineRule="auto"/>
      </w:pPr>
      <w:r>
        <w:t>Describe how segments were derived and check their stability by repeating the clustering.</w:t>
      </w:r>
    </w:p>
    <w:sectPr w:rsidR="00B37EB6">
      <w:footerReference w:type="default" r:id="rId8"/>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75CF0" w14:textId="77777777" w:rsidR="00D65939" w:rsidRDefault="00D65939">
      <w:r>
        <w:separator/>
      </w:r>
    </w:p>
  </w:endnote>
  <w:endnote w:type="continuationSeparator" w:id="0">
    <w:p w14:paraId="67230136" w14:textId="77777777" w:rsidR="00D65939" w:rsidRDefault="00D65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2285" w14:textId="77777777" w:rsidR="00B37EB6" w:rsidRDefault="00000000">
    <w:pPr>
      <w:jc w:val="center"/>
    </w:pPr>
    <w:r>
      <w:rPr>
        <w:color w:val="7F7F7F"/>
        <w:sz w:val="17"/>
        <w:szCs w:val="17"/>
      </w:rPr>
      <w:t xml:space="preserve">Investor Segments Report  |  Page </w:t>
    </w:r>
    <w:r>
      <w:rPr>
        <w:color w:val="7F7F7F"/>
        <w:sz w:val="17"/>
        <w:szCs w:val="17"/>
      </w:rPr>
      <w:fldChar w:fldCharType="begin"/>
    </w:r>
    <w:r>
      <w:rPr>
        <w:color w:val="7F7F7F"/>
        <w:sz w:val="17"/>
        <w:szCs w:val="17"/>
      </w:rPr>
      <w:instrText>PAGE</w:instrText>
    </w:r>
    <w:r>
      <w:rPr>
        <w:color w:val="7F7F7F"/>
        <w:sz w:val="17"/>
        <w:szCs w:val="17"/>
      </w:rPr>
      <w:fldChar w:fldCharType="separate"/>
    </w:r>
    <w:r w:rsidR="00506DCE">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122CB" w14:textId="77777777" w:rsidR="00D65939" w:rsidRDefault="00D65939">
      <w:r>
        <w:separator/>
      </w:r>
    </w:p>
  </w:footnote>
  <w:footnote w:type="continuationSeparator" w:id="0">
    <w:p w14:paraId="29C1C167" w14:textId="77777777" w:rsidR="00D65939" w:rsidRDefault="00D659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A00A0"/>
    <w:multiLevelType w:val="hybridMultilevel"/>
    <w:tmpl w:val="A17805D8"/>
    <w:lvl w:ilvl="0" w:tplc="6D94295C">
      <w:start w:val="1"/>
      <w:numFmt w:val="bullet"/>
      <w:lvlText w:val="●"/>
      <w:lvlJc w:val="left"/>
      <w:pPr>
        <w:ind w:left="720" w:hanging="360"/>
      </w:pPr>
    </w:lvl>
    <w:lvl w:ilvl="1" w:tplc="F52641EC">
      <w:start w:val="1"/>
      <w:numFmt w:val="bullet"/>
      <w:lvlText w:val="○"/>
      <w:lvlJc w:val="left"/>
      <w:pPr>
        <w:ind w:left="1440" w:hanging="360"/>
      </w:pPr>
    </w:lvl>
    <w:lvl w:ilvl="2" w:tplc="6F8A5AAC">
      <w:start w:val="1"/>
      <w:numFmt w:val="bullet"/>
      <w:lvlText w:val="■"/>
      <w:lvlJc w:val="left"/>
      <w:pPr>
        <w:ind w:left="2160" w:hanging="360"/>
      </w:pPr>
    </w:lvl>
    <w:lvl w:ilvl="3" w:tplc="E65E5664">
      <w:start w:val="1"/>
      <w:numFmt w:val="bullet"/>
      <w:lvlText w:val="●"/>
      <w:lvlJc w:val="left"/>
      <w:pPr>
        <w:ind w:left="2880" w:hanging="360"/>
      </w:pPr>
    </w:lvl>
    <w:lvl w:ilvl="4" w:tplc="A72CE7A8">
      <w:start w:val="1"/>
      <w:numFmt w:val="bullet"/>
      <w:lvlText w:val="○"/>
      <w:lvlJc w:val="left"/>
      <w:pPr>
        <w:ind w:left="3600" w:hanging="360"/>
      </w:pPr>
    </w:lvl>
    <w:lvl w:ilvl="5" w:tplc="A0B26BC6">
      <w:start w:val="1"/>
      <w:numFmt w:val="bullet"/>
      <w:lvlText w:val="■"/>
      <w:lvlJc w:val="left"/>
      <w:pPr>
        <w:ind w:left="4320" w:hanging="360"/>
      </w:pPr>
    </w:lvl>
    <w:lvl w:ilvl="6" w:tplc="F560135C">
      <w:start w:val="1"/>
      <w:numFmt w:val="bullet"/>
      <w:lvlText w:val="●"/>
      <w:lvlJc w:val="left"/>
      <w:pPr>
        <w:ind w:left="5040" w:hanging="360"/>
      </w:pPr>
    </w:lvl>
    <w:lvl w:ilvl="7" w:tplc="13AE6E4E">
      <w:start w:val="1"/>
      <w:numFmt w:val="bullet"/>
      <w:lvlText w:val="●"/>
      <w:lvlJc w:val="left"/>
      <w:pPr>
        <w:ind w:left="5760" w:hanging="360"/>
      </w:pPr>
    </w:lvl>
    <w:lvl w:ilvl="8" w:tplc="0024A798">
      <w:start w:val="1"/>
      <w:numFmt w:val="bullet"/>
      <w:lvlText w:val="●"/>
      <w:lvlJc w:val="left"/>
      <w:pPr>
        <w:ind w:left="6480" w:hanging="360"/>
      </w:pPr>
    </w:lvl>
  </w:abstractNum>
  <w:abstractNum w:abstractNumId="1" w15:restartNumberingAfterBreak="0">
    <w:nsid w:val="0C9A31C3"/>
    <w:multiLevelType w:val="hybridMultilevel"/>
    <w:tmpl w:val="8DF8C8DC"/>
    <w:lvl w:ilvl="0" w:tplc="5CFC8E42">
      <w:start w:val="1"/>
      <w:numFmt w:val="bullet"/>
      <w:lvlText w:val="•"/>
      <w:lvlJc w:val="left"/>
      <w:pPr>
        <w:ind w:left="540" w:hanging="270"/>
      </w:pPr>
      <w:rPr>
        <w:color w:val="C9A227"/>
      </w:rPr>
    </w:lvl>
    <w:lvl w:ilvl="1" w:tplc="FD30A91C">
      <w:numFmt w:val="decimal"/>
      <w:lvlText w:val=""/>
      <w:lvlJc w:val="left"/>
    </w:lvl>
    <w:lvl w:ilvl="2" w:tplc="00CCF5DC">
      <w:numFmt w:val="decimal"/>
      <w:lvlText w:val=""/>
      <w:lvlJc w:val="left"/>
    </w:lvl>
    <w:lvl w:ilvl="3" w:tplc="C088B566">
      <w:numFmt w:val="decimal"/>
      <w:lvlText w:val=""/>
      <w:lvlJc w:val="left"/>
    </w:lvl>
    <w:lvl w:ilvl="4" w:tplc="84C600CE">
      <w:numFmt w:val="decimal"/>
      <w:lvlText w:val=""/>
      <w:lvlJc w:val="left"/>
    </w:lvl>
    <w:lvl w:ilvl="5" w:tplc="30767522">
      <w:numFmt w:val="decimal"/>
      <w:lvlText w:val=""/>
      <w:lvlJc w:val="left"/>
    </w:lvl>
    <w:lvl w:ilvl="6" w:tplc="22849B62">
      <w:numFmt w:val="decimal"/>
      <w:lvlText w:val=""/>
      <w:lvlJc w:val="left"/>
    </w:lvl>
    <w:lvl w:ilvl="7" w:tplc="9278AED4">
      <w:numFmt w:val="decimal"/>
      <w:lvlText w:val=""/>
      <w:lvlJc w:val="left"/>
    </w:lvl>
    <w:lvl w:ilvl="8" w:tplc="9AC26A04">
      <w:numFmt w:val="decimal"/>
      <w:lvlText w:val=""/>
      <w:lvlJc w:val="left"/>
    </w:lvl>
  </w:abstractNum>
  <w:num w:numId="1" w16cid:durableId="2069724950">
    <w:abstractNumId w:val="0"/>
    <w:lvlOverride w:ilvl="0">
      <w:startOverride w:val="1"/>
    </w:lvlOverride>
  </w:num>
  <w:num w:numId="2" w16cid:durableId="15087875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EB6"/>
    <w:rsid w:val="00506DCE"/>
    <w:rsid w:val="00510D28"/>
    <w:rsid w:val="00B37EB6"/>
    <w:rsid w:val="00D65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3C119"/>
  <w15:docId w15:val="{727693D6-ACF2-4247-B46A-672A046B1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948</Words>
  <Characters>5406</Characters>
  <Application>Microsoft Office Word</Application>
  <DocSecurity>0</DocSecurity>
  <Lines>45</Lines>
  <Paragraphs>12</Paragraphs>
  <ScaleCrop>false</ScaleCrop>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hildegarde mukonyora</cp:lastModifiedBy>
  <cp:revision>2</cp:revision>
  <dcterms:created xsi:type="dcterms:W3CDTF">2026-10-14T18:55:00Z</dcterms:created>
  <dcterms:modified xsi:type="dcterms:W3CDTF">2026-10-14T18:55:00Z</dcterms:modified>
</cp:coreProperties>
</file>