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3C9" w14:textId="77777777" w:rsidR="00315F81" w:rsidRDefault="00000000">
      <w:pPr>
        <w:spacing w:after="60"/>
      </w:pPr>
      <w:r>
        <w:rPr>
          <w:b/>
          <w:bCs/>
          <w:color w:val="C9A227"/>
          <w:spacing w:val="60"/>
          <w:sz w:val="20"/>
          <w:szCs w:val="20"/>
        </w:rPr>
        <w:t>REPORT</w:t>
      </w:r>
    </w:p>
    <w:p w14:paraId="387AC4A8" w14:textId="77777777" w:rsidR="00315F81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Age and Gender Profile of Survey Respondents</w:t>
      </w:r>
    </w:p>
    <w:p w14:paraId="58D72451" w14:textId="77777777" w:rsidR="00315F81" w:rsidRDefault="00000000">
      <w:pPr>
        <w:pBdr>
          <w:bottom w:val="single" w:sz="18" w:space="6" w:color="C9A227"/>
        </w:pBdr>
        <w:spacing w:after="240"/>
      </w:pPr>
      <w:r>
        <w:rPr>
          <w:color w:val="555555"/>
        </w:rPr>
        <w:t>Demographic summary of 40 respondents  |  16 October 2026</w:t>
      </w:r>
    </w:p>
    <w:p w14:paraId="5099159C" w14:textId="77777777" w:rsidR="00315F81" w:rsidRDefault="00000000">
      <w:pPr>
        <w:pStyle w:val="Heading1"/>
        <w:pBdr>
          <w:bottom w:val="single" w:sz="8" w:space="2" w:color="C9A227"/>
        </w:pBdr>
      </w:pPr>
      <w:r>
        <w:t>1. Introduction</w:t>
      </w:r>
    </w:p>
    <w:p w14:paraId="1BDEE7E0" w14:textId="77777777" w:rsidR="00315F81" w:rsidRDefault="00000000">
      <w:pPr>
        <w:spacing w:after="120" w:line="276" w:lineRule="auto"/>
      </w:pPr>
      <w:r>
        <w:t>This report summarises the demographic profile of the survey respondents, based on two charts: the age distribution (histogram) and the gender split (bar chart). Both charts cover the same 40 respondents.</w:t>
      </w:r>
    </w:p>
    <w:p w14:paraId="51724CEC" w14:textId="77777777" w:rsidR="00315F8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2E22B86" wp14:editId="59AC6A60">
            <wp:extent cx="5715000" cy="2286000"/>
            <wp:effectExtent l="0" t="0" r="0" b="0"/>
            <wp:docPr id="1" name="charts" descr="Histogram of respondent ages and bar chart of gender" title="Respondent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DDB1" w14:textId="77777777" w:rsidR="00315F81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Figure 1: Age of respondents (left) and gender of respondents (right)</w:t>
      </w:r>
    </w:p>
    <w:p w14:paraId="2E2E8E9E" w14:textId="77777777" w:rsidR="00315F81" w:rsidRDefault="00000000">
      <w:pPr>
        <w:pStyle w:val="Heading1"/>
        <w:pBdr>
          <w:bottom w:val="single" w:sz="8" w:space="2" w:color="C9A227"/>
        </w:pBdr>
      </w:pPr>
      <w:r>
        <w:t>2. Age distribution</w:t>
      </w:r>
    </w:p>
    <w:p w14:paraId="4B220988" w14:textId="77777777" w:rsidR="00315F81" w:rsidRDefault="00000000">
      <w:pPr>
        <w:spacing w:after="120" w:line="276" w:lineRule="auto"/>
      </w:pPr>
      <w:r>
        <w:t>Respondents' ages range from 20 to 36 and are grouped into two-year bands.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315F81" w14:paraId="5FDA3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480D8" w14:textId="77777777" w:rsidR="00315F8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Age band (years)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FC186" w14:textId="77777777" w:rsidR="00315F8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Respondents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0109E" w14:textId="77777777" w:rsidR="00315F8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Share of total</w:t>
            </w:r>
          </w:p>
        </w:tc>
      </w:tr>
      <w:tr w:rsidR="00315F81" w14:paraId="0DBC10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DE9DD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20-22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1AAFD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96E5F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5.0%</w:t>
            </w:r>
          </w:p>
        </w:tc>
      </w:tr>
      <w:tr w:rsidR="00315F81" w14:paraId="2F245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C42BE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22-24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91916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44553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5.0%</w:t>
            </w:r>
          </w:p>
        </w:tc>
      </w:tr>
      <w:tr w:rsidR="00315F81" w14:paraId="7D4FB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5601B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24-26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4A296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DFF80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15.0%</w:t>
            </w:r>
          </w:p>
        </w:tc>
      </w:tr>
      <w:tr w:rsidR="00315F81" w14:paraId="32E2C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FBF3D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E28F2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26-28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FBF3D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5BC88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FBF3D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E878C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27.5%</w:t>
            </w:r>
          </w:p>
        </w:tc>
      </w:tr>
      <w:tr w:rsidR="00315F81" w14:paraId="18FC7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0E7E7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28-30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D58A4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E6F9C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17.5%</w:t>
            </w:r>
          </w:p>
        </w:tc>
      </w:tr>
      <w:tr w:rsidR="00315F81" w14:paraId="21F8CF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24DE3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30-32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2D429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1E271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17.5%</w:t>
            </w:r>
          </w:p>
        </w:tc>
      </w:tr>
      <w:tr w:rsidR="00315F81" w14:paraId="0D77E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5379B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32-34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321E1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79625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2.5%</w:t>
            </w:r>
          </w:p>
        </w:tc>
      </w:tr>
      <w:tr w:rsidR="00315F81" w14:paraId="6B6009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A8A09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34-36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E48F9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239CB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10.0%</w:t>
            </w:r>
          </w:p>
        </w:tc>
      </w:tr>
      <w:tr w:rsidR="00315F81" w14:paraId="1F7752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C044C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DC4EF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8B8D4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100.0%</w:t>
            </w:r>
          </w:p>
        </w:tc>
      </w:tr>
    </w:tbl>
    <w:p w14:paraId="3FADFF91" w14:textId="77777777" w:rsidR="00315F81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Table 1: Respondents by age band</w:t>
      </w:r>
    </w:p>
    <w:p w14:paraId="11322E87" w14:textId="77777777" w:rsidR="00315F81" w:rsidRDefault="00000000">
      <w:pPr>
        <w:spacing w:before="120" w:after="80"/>
      </w:pPr>
      <w:r>
        <w:rPr>
          <w:b/>
          <w:bCs/>
        </w:rPr>
        <w:t>Key observations</w:t>
      </w:r>
    </w:p>
    <w:p w14:paraId="4D2FA425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Largest group: </w:t>
      </w:r>
      <w:r>
        <w:t>respondents aged 26-28 form the largest band, with 11 people (27.5%).</w:t>
      </w:r>
    </w:p>
    <w:p w14:paraId="37B8F4A3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Concentration: </w:t>
      </w:r>
      <w:r>
        <w:t>the sample clusters in the mid-to-late twenties and early thirties. The 24-32 range accounts for 31 of 40 respondents (about 78%).</w:t>
      </w:r>
    </w:p>
    <w:p w14:paraId="4D8DD8D9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Younger respondents: </w:t>
      </w:r>
      <w:r>
        <w:t>those under 24 are few, at 4 respondents (10%).</w:t>
      </w:r>
    </w:p>
    <w:p w14:paraId="55C4C92F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Central tendency: </w:t>
      </w:r>
      <w:r>
        <w:t>the median age falls in the 26-28 band, and the estimated mean is about 28 years, using band midpoints.</w:t>
      </w:r>
    </w:p>
    <w:p w14:paraId="7966ED6F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Upper end: </w:t>
      </w:r>
      <w:r>
        <w:t>there is a small uptick in the 34-36 band (4 respondents) after a dip at 32-34 (1 respondent). With a sample this small, this may be noise rather than a real pattern.</w:t>
      </w:r>
    </w:p>
    <w:p w14:paraId="7CAFA199" w14:textId="77777777" w:rsidR="00315F81" w:rsidRDefault="00000000">
      <w:pPr>
        <w:pStyle w:val="Heading1"/>
        <w:pBdr>
          <w:bottom w:val="single" w:sz="8" w:space="2" w:color="C9A227"/>
        </w:pBdr>
      </w:pPr>
      <w:r>
        <w:t>3. Gender distribution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315F81" w14:paraId="78D23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76889" w14:textId="77777777" w:rsidR="00315F8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Gender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236A5" w14:textId="77777777" w:rsidR="00315F8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Respondents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740EA" w14:textId="77777777" w:rsidR="00315F8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Share of total</w:t>
            </w:r>
          </w:p>
        </w:tc>
      </w:tr>
      <w:tr w:rsidR="00315F81" w14:paraId="42E84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5B8C4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Male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E074E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AF57A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62.5%</w:t>
            </w:r>
          </w:p>
        </w:tc>
      </w:tr>
      <w:tr w:rsidR="00315F81" w14:paraId="1D855E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146E87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Female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12793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8403E" w14:textId="77777777" w:rsidR="00315F81" w:rsidRDefault="00000000">
            <w:pPr>
              <w:jc w:val="center"/>
            </w:pPr>
            <w:r>
              <w:rPr>
                <w:sz w:val="21"/>
                <w:szCs w:val="21"/>
              </w:rPr>
              <w:t>37.5%</w:t>
            </w:r>
          </w:p>
        </w:tc>
      </w:tr>
      <w:tr w:rsidR="00315F81" w14:paraId="52BB0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7DF8C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BF6D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40</w:t>
            </w:r>
          </w:p>
        </w:tc>
        <w:tc>
          <w:tcPr>
            <w:tcW w:w="3026" w:type="dxa"/>
            <w:tcBorders>
              <w:top w:val="single" w:sz="4" w:space="0" w:color="BFC6D6"/>
              <w:left w:val="single" w:sz="4" w:space="0" w:color="BFC6D6"/>
              <w:bottom w:val="single" w:sz="4" w:space="0" w:color="BFC6D6"/>
              <w:right w:val="single" w:sz="4" w:space="0" w:color="BFC6D6"/>
            </w:tcBorders>
            <w:shd w:val="clear" w:color="auto" w:fill="EEF1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7699A" w14:textId="77777777" w:rsidR="00315F81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100.0%</w:t>
            </w:r>
          </w:p>
        </w:tc>
      </w:tr>
    </w:tbl>
    <w:p w14:paraId="6C9BC866" w14:textId="77777777" w:rsidR="00315F81" w:rsidRDefault="00000000">
      <w:pPr>
        <w:spacing w:before="60" w:after="160"/>
        <w:jc w:val="center"/>
      </w:pPr>
      <w:r>
        <w:rPr>
          <w:i/>
          <w:iCs/>
          <w:color w:val="555555"/>
          <w:sz w:val="19"/>
          <w:szCs w:val="19"/>
        </w:rPr>
        <w:t>Table 2: Respondents by gender</w:t>
      </w:r>
    </w:p>
    <w:p w14:paraId="2F63D948" w14:textId="77777777" w:rsidR="00315F81" w:rsidRDefault="00000000">
      <w:pPr>
        <w:spacing w:after="120" w:line="276" w:lineRule="auto"/>
      </w:pPr>
      <w:r>
        <w:t>Men outnumber women by roughly 5 to 3, a gap of 10 respondents. Male respondents make up 62.5% of the sample and female respondents 37.5%.</w:t>
      </w:r>
    </w:p>
    <w:p w14:paraId="24936C1C" w14:textId="77777777" w:rsidR="00315F81" w:rsidRDefault="00000000">
      <w:pPr>
        <w:pStyle w:val="Heading1"/>
        <w:pBdr>
          <w:bottom w:val="single" w:sz="8" w:space="2" w:color="C9A227"/>
        </w:pBdr>
      </w:pPr>
      <w:r>
        <w:t>4. Discussion</w:t>
      </w:r>
    </w:p>
    <w:p w14:paraId="46A7368D" w14:textId="77777777" w:rsidR="00315F81" w:rsidRDefault="00000000">
      <w:pPr>
        <w:spacing w:after="120" w:line="276" w:lineRule="auto"/>
      </w:pPr>
      <w:r>
        <w:t>The sample is predominantly young adults in their late twenties and is male-skewed. This has implications for how far the findings can be generalised:</w:t>
      </w:r>
    </w:p>
    <w:p w14:paraId="17E4AAE6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Results may best reflect the views or behaviours of men aged roughly 24-32.</w:t>
      </w:r>
    </w:p>
    <w:p w14:paraId="3A7CEDB5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Women, and respondents under 24 or over 32, are under-represented, so conclusions about these groups should be treated with caution.</w:t>
      </w:r>
    </w:p>
    <w:p w14:paraId="65B7FC6A" w14:textId="77777777" w:rsidR="00315F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With only 40 respondents, each person shifts the percentages noticeably (one respondent is 2.5%), so small differences between bands should not be over-interpreted.</w:t>
      </w:r>
    </w:p>
    <w:p w14:paraId="5E5B492B" w14:textId="77777777" w:rsidR="00315F81" w:rsidRDefault="00000000">
      <w:pPr>
        <w:pStyle w:val="Heading1"/>
        <w:pBdr>
          <w:bottom w:val="single" w:sz="8" w:space="2" w:color="C9A227"/>
        </w:pBdr>
      </w:pPr>
      <w:r>
        <w:t>5. Conclusion and recommendations</w:t>
      </w:r>
    </w:p>
    <w:p w14:paraId="6F12EE94" w14:textId="77777777" w:rsidR="00315F81" w:rsidRDefault="00000000">
      <w:pPr>
        <w:spacing w:after="120" w:line="276" w:lineRule="auto"/>
      </w:pPr>
      <w:r>
        <w:t>The respondent group is relatively homogeneous in age but unbalanced in gender. If the study aims to represent a wider population, consider the following:</w:t>
      </w:r>
    </w:p>
    <w:p w14:paraId="44579C8D" w14:textId="77777777" w:rsidR="00315F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Increase the sample size.</w:t>
      </w:r>
    </w:p>
    <w:p w14:paraId="701D9F91" w14:textId="77777777" w:rsidR="00315F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Target recruitment toward women and toward the youngest and oldest age bands.</w:t>
      </w:r>
    </w:p>
    <w:p w14:paraId="3B7F6F6B" w14:textId="77777777" w:rsidR="00315F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Weight results by gender and age in any further analysis, or analyse the groups separately.</w:t>
      </w:r>
    </w:p>
    <w:sectPr w:rsidR="00315F81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E6BF8" w14:textId="77777777" w:rsidR="00CE2C66" w:rsidRDefault="00CE2C66">
      <w:r>
        <w:separator/>
      </w:r>
    </w:p>
  </w:endnote>
  <w:endnote w:type="continuationSeparator" w:id="0">
    <w:p w14:paraId="43BA6156" w14:textId="77777777" w:rsidR="00CE2C66" w:rsidRDefault="00CE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9102" w14:textId="77777777" w:rsidR="00315F81" w:rsidRDefault="00000000">
    <w:pPr>
      <w:jc w:val="center"/>
    </w:pPr>
    <w:r>
      <w:rPr>
        <w:color w:val="777777"/>
        <w:sz w:val="18"/>
        <w:szCs w:val="18"/>
      </w:rPr>
      <w:t xml:space="preserve">Age and Gender Profile of Survey Respondents  |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FA0B96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80ED8" w14:textId="77777777" w:rsidR="00CE2C66" w:rsidRDefault="00CE2C66">
      <w:r>
        <w:separator/>
      </w:r>
    </w:p>
  </w:footnote>
  <w:footnote w:type="continuationSeparator" w:id="0">
    <w:p w14:paraId="69595555" w14:textId="77777777" w:rsidR="00CE2C66" w:rsidRDefault="00CE2C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46B"/>
    <w:multiLevelType w:val="hybridMultilevel"/>
    <w:tmpl w:val="07DE4344"/>
    <w:lvl w:ilvl="0" w:tplc="F85A2F30">
      <w:start w:val="1"/>
      <w:numFmt w:val="bullet"/>
      <w:lvlText w:val="•"/>
      <w:lvlJc w:val="left"/>
      <w:pPr>
        <w:ind w:left="720" w:hanging="360"/>
      </w:pPr>
    </w:lvl>
    <w:lvl w:ilvl="1" w:tplc="BD528E3A">
      <w:numFmt w:val="decimal"/>
      <w:lvlText w:val=""/>
      <w:lvlJc w:val="left"/>
    </w:lvl>
    <w:lvl w:ilvl="2" w:tplc="DF007E4A">
      <w:numFmt w:val="decimal"/>
      <w:lvlText w:val=""/>
      <w:lvlJc w:val="left"/>
    </w:lvl>
    <w:lvl w:ilvl="3" w:tplc="44504450">
      <w:numFmt w:val="decimal"/>
      <w:lvlText w:val=""/>
      <w:lvlJc w:val="left"/>
    </w:lvl>
    <w:lvl w:ilvl="4" w:tplc="13E45678">
      <w:numFmt w:val="decimal"/>
      <w:lvlText w:val=""/>
      <w:lvlJc w:val="left"/>
    </w:lvl>
    <w:lvl w:ilvl="5" w:tplc="A65C81C0">
      <w:numFmt w:val="decimal"/>
      <w:lvlText w:val=""/>
      <w:lvlJc w:val="left"/>
    </w:lvl>
    <w:lvl w:ilvl="6" w:tplc="30FA417E">
      <w:numFmt w:val="decimal"/>
      <w:lvlText w:val=""/>
      <w:lvlJc w:val="left"/>
    </w:lvl>
    <w:lvl w:ilvl="7" w:tplc="F33CFD60">
      <w:numFmt w:val="decimal"/>
      <w:lvlText w:val=""/>
      <w:lvlJc w:val="left"/>
    </w:lvl>
    <w:lvl w:ilvl="8" w:tplc="0AC44F5A">
      <w:numFmt w:val="decimal"/>
      <w:lvlText w:val=""/>
      <w:lvlJc w:val="left"/>
    </w:lvl>
  </w:abstractNum>
  <w:abstractNum w:abstractNumId="1" w15:restartNumberingAfterBreak="0">
    <w:nsid w:val="3E922434"/>
    <w:multiLevelType w:val="hybridMultilevel"/>
    <w:tmpl w:val="41C0F848"/>
    <w:lvl w:ilvl="0" w:tplc="92AC5926">
      <w:start w:val="1"/>
      <w:numFmt w:val="decimal"/>
      <w:lvlText w:val="%1."/>
      <w:lvlJc w:val="left"/>
      <w:pPr>
        <w:ind w:left="720" w:hanging="360"/>
      </w:pPr>
    </w:lvl>
    <w:lvl w:ilvl="1" w:tplc="8A623202">
      <w:numFmt w:val="decimal"/>
      <w:lvlText w:val=""/>
      <w:lvlJc w:val="left"/>
    </w:lvl>
    <w:lvl w:ilvl="2" w:tplc="DA22D33A">
      <w:numFmt w:val="decimal"/>
      <w:lvlText w:val=""/>
      <w:lvlJc w:val="left"/>
    </w:lvl>
    <w:lvl w:ilvl="3" w:tplc="E0F0F362">
      <w:numFmt w:val="decimal"/>
      <w:lvlText w:val=""/>
      <w:lvlJc w:val="left"/>
    </w:lvl>
    <w:lvl w:ilvl="4" w:tplc="82C2CEF6">
      <w:numFmt w:val="decimal"/>
      <w:lvlText w:val=""/>
      <w:lvlJc w:val="left"/>
    </w:lvl>
    <w:lvl w:ilvl="5" w:tplc="60DE9D8A">
      <w:numFmt w:val="decimal"/>
      <w:lvlText w:val=""/>
      <w:lvlJc w:val="left"/>
    </w:lvl>
    <w:lvl w:ilvl="6" w:tplc="54B87360">
      <w:numFmt w:val="decimal"/>
      <w:lvlText w:val=""/>
      <w:lvlJc w:val="left"/>
    </w:lvl>
    <w:lvl w:ilvl="7" w:tplc="8D30E77A">
      <w:numFmt w:val="decimal"/>
      <w:lvlText w:val=""/>
      <w:lvlJc w:val="left"/>
    </w:lvl>
    <w:lvl w:ilvl="8" w:tplc="F40C2968">
      <w:numFmt w:val="decimal"/>
      <w:lvlText w:val=""/>
      <w:lvlJc w:val="left"/>
    </w:lvl>
  </w:abstractNum>
  <w:abstractNum w:abstractNumId="2" w15:restartNumberingAfterBreak="0">
    <w:nsid w:val="626C2140"/>
    <w:multiLevelType w:val="hybridMultilevel"/>
    <w:tmpl w:val="58FAEB60"/>
    <w:lvl w:ilvl="0" w:tplc="89E45A12">
      <w:start w:val="1"/>
      <w:numFmt w:val="bullet"/>
      <w:lvlText w:val="●"/>
      <w:lvlJc w:val="left"/>
      <w:pPr>
        <w:ind w:left="720" w:hanging="360"/>
      </w:pPr>
    </w:lvl>
    <w:lvl w:ilvl="1" w:tplc="C2F6F9DC">
      <w:start w:val="1"/>
      <w:numFmt w:val="bullet"/>
      <w:lvlText w:val="○"/>
      <w:lvlJc w:val="left"/>
      <w:pPr>
        <w:ind w:left="1440" w:hanging="360"/>
      </w:pPr>
    </w:lvl>
    <w:lvl w:ilvl="2" w:tplc="37AC228A">
      <w:start w:val="1"/>
      <w:numFmt w:val="bullet"/>
      <w:lvlText w:val="■"/>
      <w:lvlJc w:val="left"/>
      <w:pPr>
        <w:ind w:left="2160" w:hanging="360"/>
      </w:pPr>
    </w:lvl>
    <w:lvl w:ilvl="3" w:tplc="654201C2">
      <w:start w:val="1"/>
      <w:numFmt w:val="bullet"/>
      <w:lvlText w:val="●"/>
      <w:lvlJc w:val="left"/>
      <w:pPr>
        <w:ind w:left="2880" w:hanging="360"/>
      </w:pPr>
    </w:lvl>
    <w:lvl w:ilvl="4" w:tplc="B1F0E15A">
      <w:start w:val="1"/>
      <w:numFmt w:val="bullet"/>
      <w:lvlText w:val="○"/>
      <w:lvlJc w:val="left"/>
      <w:pPr>
        <w:ind w:left="3600" w:hanging="360"/>
      </w:pPr>
    </w:lvl>
    <w:lvl w:ilvl="5" w:tplc="EDF8EB6C">
      <w:start w:val="1"/>
      <w:numFmt w:val="bullet"/>
      <w:lvlText w:val="■"/>
      <w:lvlJc w:val="left"/>
      <w:pPr>
        <w:ind w:left="4320" w:hanging="360"/>
      </w:pPr>
    </w:lvl>
    <w:lvl w:ilvl="6" w:tplc="4838051A">
      <w:start w:val="1"/>
      <w:numFmt w:val="bullet"/>
      <w:lvlText w:val="●"/>
      <w:lvlJc w:val="left"/>
      <w:pPr>
        <w:ind w:left="5040" w:hanging="360"/>
      </w:pPr>
    </w:lvl>
    <w:lvl w:ilvl="7" w:tplc="F3325CC8">
      <w:start w:val="1"/>
      <w:numFmt w:val="bullet"/>
      <w:lvlText w:val="●"/>
      <w:lvlJc w:val="left"/>
      <w:pPr>
        <w:ind w:left="5760" w:hanging="360"/>
      </w:pPr>
    </w:lvl>
    <w:lvl w:ilvl="8" w:tplc="F8823A1C">
      <w:start w:val="1"/>
      <w:numFmt w:val="bullet"/>
      <w:lvlText w:val="●"/>
      <w:lvlJc w:val="left"/>
      <w:pPr>
        <w:ind w:left="6480" w:hanging="360"/>
      </w:pPr>
    </w:lvl>
  </w:abstractNum>
  <w:num w:numId="1" w16cid:durableId="1390807590">
    <w:abstractNumId w:val="2"/>
    <w:lvlOverride w:ilvl="0">
      <w:startOverride w:val="1"/>
    </w:lvlOverride>
  </w:num>
  <w:num w:numId="2" w16cid:durableId="2065987863">
    <w:abstractNumId w:val="0"/>
    <w:lvlOverride w:ilvl="0">
      <w:startOverride w:val="1"/>
    </w:lvlOverride>
  </w:num>
  <w:num w:numId="3" w16cid:durableId="677318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F81"/>
    <w:rsid w:val="001533BC"/>
    <w:rsid w:val="00315F81"/>
    <w:rsid w:val="00CE2C66"/>
    <w:rsid w:val="00FA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69BD"/>
  <w15:docId w15:val="{615335C3-217E-44BA-A001-6B9A3047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and Gender Profile of Survey Respondents</dc:title>
  <dc:creator>Report</dc:creator>
  <cp:lastModifiedBy>hildegarde mukonyora</cp:lastModifiedBy>
  <cp:revision>2</cp:revision>
  <dcterms:created xsi:type="dcterms:W3CDTF">2026-10-16T18:30:00Z</dcterms:created>
  <dcterms:modified xsi:type="dcterms:W3CDTF">2026-10-16T18:30:00Z</dcterms:modified>
</cp:coreProperties>
</file>