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D1BD4" w14:textId="77777777" w:rsidR="0091604A" w:rsidRDefault="00000000">
      <w:pPr>
        <w:shd w:val="clear" w:color="auto" w:fill="1F3864"/>
      </w:pPr>
      <w:r>
        <w:rPr>
          <w:sz w:val="12"/>
          <w:szCs w:val="12"/>
        </w:rPr>
        <w:t xml:space="preserve">  </w:t>
      </w:r>
    </w:p>
    <w:p w14:paraId="3F81713A" w14:textId="77777777" w:rsidR="0091604A" w:rsidRDefault="00000000">
      <w:pPr>
        <w:spacing w:before="240" w:after="60"/>
      </w:pPr>
      <w:r>
        <w:rPr>
          <w:b/>
          <w:bCs/>
          <w:color w:val="1F3864"/>
          <w:sz w:val="56"/>
          <w:szCs w:val="56"/>
        </w:rPr>
        <w:t>Segment Separation Report</w:t>
      </w:r>
    </w:p>
    <w:p w14:paraId="63E19669" w14:textId="77777777" w:rsidR="0091604A" w:rsidRDefault="00000000">
      <w:pPr>
        <w:spacing w:after="60"/>
      </w:pPr>
      <w:r>
        <w:rPr>
          <w:color w:val="595959"/>
          <w:sz w:val="26"/>
          <w:szCs w:val="26"/>
        </w:rPr>
        <w:t>A two-dimensional view of the three investor segments (PCA of the rankings)</w:t>
      </w:r>
    </w:p>
    <w:p w14:paraId="605419E7" w14:textId="77777777" w:rsidR="0091604A" w:rsidRDefault="00000000">
      <w:pPr>
        <w:pBdr>
          <w:bottom w:val="single" w:sz="18" w:space="6" w:color="C9A227"/>
        </w:pBdr>
        <w:spacing w:after="200"/>
      </w:pPr>
      <w:r>
        <w:rPr>
          <w:color w:val="595959"/>
          <w:sz w:val="20"/>
          <w:szCs w:val="20"/>
        </w:rPr>
        <w:t xml:space="preserve">Prepared by Hilda </w:t>
      </w:r>
      <w:proofErr w:type="gramStart"/>
      <w:r>
        <w:rPr>
          <w:color w:val="595959"/>
          <w:sz w:val="20"/>
          <w:szCs w:val="20"/>
        </w:rPr>
        <w:t>Mukonyora  |</w:t>
      </w:r>
      <w:proofErr w:type="gramEnd"/>
      <w:r>
        <w:rPr>
          <w:color w:val="595959"/>
          <w:sz w:val="20"/>
          <w:szCs w:val="20"/>
        </w:rPr>
        <w:t xml:space="preserve">  14 October 2026</w:t>
      </w:r>
    </w:p>
    <w:p w14:paraId="15729201" w14:textId="77777777" w:rsidR="0091604A" w:rsidRDefault="00000000">
      <w:pPr>
        <w:pStyle w:val="Heading1"/>
        <w:pBdr>
          <w:bottom w:val="single" w:sz="8" w:space="2" w:color="C9A227"/>
        </w:pBdr>
        <w:spacing w:before="300" w:after="120"/>
      </w:pPr>
      <w:r>
        <w:rPr>
          <w:b/>
          <w:bCs/>
          <w:color w:val="1F3864"/>
          <w:sz w:val="30"/>
          <w:szCs w:val="30"/>
        </w:rPr>
        <w:t>1. Executive summary</w:t>
      </w:r>
    </w:p>
    <w:p w14:paraId="6757F718" w14:textId="77777777" w:rsidR="0091604A" w:rsidRDefault="00000000">
      <w:pPr>
        <w:spacing w:after="120" w:line="300" w:lineRule="auto"/>
      </w:pPr>
      <w:r>
        <w:t xml:space="preserve">The scatter plot projects each of the 40 respondents' rankings of seven investment avenues onto two principal components (PC1 and PC2), the two directions that capture the most variation. Points are </w:t>
      </w:r>
      <w:proofErr w:type="spellStart"/>
      <w:r>
        <w:t>coloured</w:t>
      </w:r>
      <w:proofErr w:type="spellEnd"/>
      <w:r>
        <w:t xml:space="preserve"> by the segment they were assigned to. The plot is a check on whether the segments shown in the earlier heatmap are visibly distinct.</w:t>
      </w:r>
    </w:p>
    <w:p w14:paraId="34AF3F8B" w14:textId="77777777" w:rsidR="0091604A" w:rsidRDefault="00000000">
      <w:pPr>
        <w:pStyle w:val="ListParagraph"/>
        <w:numPr>
          <w:ilvl w:val="0"/>
          <w:numId w:val="2"/>
        </w:numPr>
        <w:spacing w:after="80" w:line="290" w:lineRule="auto"/>
      </w:pPr>
      <w:r>
        <w:rPr>
          <w:b/>
          <w:bCs/>
        </w:rPr>
        <w:t xml:space="preserve">The segments are visibly separate. </w:t>
      </w:r>
      <w:r>
        <w:t>Segments 1 and 3 sit on the far left (PC1 below about -2.3), while every Segment 2 respondent lies to the right of about -0.5.</w:t>
      </w:r>
    </w:p>
    <w:p w14:paraId="42257995" w14:textId="77777777" w:rsidR="0091604A" w:rsidRDefault="00000000">
      <w:pPr>
        <w:pStyle w:val="ListParagraph"/>
        <w:numPr>
          <w:ilvl w:val="0"/>
          <w:numId w:val="2"/>
        </w:numPr>
        <w:spacing w:after="80" w:line="290" w:lineRule="auto"/>
      </w:pPr>
      <w:r>
        <w:rPr>
          <w:b/>
          <w:bCs/>
        </w:rPr>
        <w:t xml:space="preserve">PC1 splits Segment 2 from the other two. </w:t>
      </w:r>
      <w:r>
        <w:t>There is an empty band roughly 2 units wide between the left-hand groups and the Segment 2 cloud.</w:t>
      </w:r>
    </w:p>
    <w:p w14:paraId="32B62AE9" w14:textId="77777777" w:rsidR="0091604A" w:rsidRDefault="00000000">
      <w:pPr>
        <w:pStyle w:val="ListParagraph"/>
        <w:numPr>
          <w:ilvl w:val="0"/>
          <w:numId w:val="2"/>
        </w:numPr>
        <w:spacing w:after="80" w:line="290" w:lineRule="auto"/>
      </w:pPr>
      <w:r>
        <w:rPr>
          <w:b/>
          <w:bCs/>
        </w:rPr>
        <w:t xml:space="preserve">PC2 splits Segment 1 from Segment 3. </w:t>
      </w:r>
      <w:r>
        <w:t>Segment 1 is entirely above 1.7, and four of the five Segment 3 points are below -2.1.</w:t>
      </w:r>
    </w:p>
    <w:p w14:paraId="1199080F" w14:textId="77777777" w:rsidR="0091604A" w:rsidRDefault="00000000">
      <w:pPr>
        <w:pStyle w:val="ListParagraph"/>
        <w:numPr>
          <w:ilvl w:val="0"/>
          <w:numId w:val="2"/>
        </w:numPr>
        <w:spacing w:after="80" w:line="290" w:lineRule="auto"/>
      </w:pPr>
      <w:r>
        <w:rPr>
          <w:b/>
          <w:bCs/>
        </w:rPr>
        <w:t xml:space="preserve">Segment 2 is one dense core with a few stragglers. </w:t>
      </w:r>
      <w:r>
        <w:t>Most of its 31 points fall in a compact region, but a handful stretch to the top and bottom edges.</w:t>
      </w:r>
    </w:p>
    <w:p w14:paraId="36D6F201" w14:textId="77777777" w:rsidR="0091604A" w:rsidRDefault="00000000">
      <w:pPr>
        <w:pStyle w:val="ListParagraph"/>
        <w:numPr>
          <w:ilvl w:val="0"/>
          <w:numId w:val="2"/>
        </w:numPr>
        <w:spacing w:after="80" w:line="290" w:lineRule="auto"/>
      </w:pPr>
      <w:r>
        <w:rPr>
          <w:b/>
          <w:bCs/>
        </w:rPr>
        <w:t xml:space="preserve">Do not over-read this as proof. </w:t>
      </w:r>
      <w:r>
        <w:t>Segments built from the rankings will naturally look separate in a projection of the same rankings, and Segments 1 and 3 are very small.</w:t>
      </w:r>
    </w:p>
    <w:p w14:paraId="6F0EDFEF" w14:textId="77777777" w:rsidR="0091604A" w:rsidRDefault="00000000">
      <w:pPr>
        <w:pStyle w:val="Heading1"/>
        <w:pBdr>
          <w:bottom w:val="single" w:sz="8" w:space="2" w:color="C9A227"/>
        </w:pBdr>
        <w:spacing w:before="300" w:after="120"/>
      </w:pPr>
      <w:r>
        <w:rPr>
          <w:b/>
          <w:bCs/>
          <w:color w:val="1F3864"/>
          <w:sz w:val="30"/>
          <w:szCs w:val="30"/>
        </w:rPr>
        <w:t>2. The plot</w:t>
      </w:r>
    </w:p>
    <w:p w14:paraId="28B1D048" w14:textId="77777777" w:rsidR="0091604A" w:rsidRDefault="00000000">
      <w:pPr>
        <w:keepNext/>
        <w:spacing w:before="120" w:after="60"/>
        <w:jc w:val="center"/>
      </w:pPr>
      <w:r>
        <w:rPr>
          <w:noProof/>
        </w:rPr>
        <w:lastRenderedPageBreak/>
        <w:drawing>
          <wp:inline distT="0" distB="0" distL="0" distR="0" wp14:anchorId="7BB9AE48" wp14:editId="1D5FFA97">
            <wp:extent cx="4476750" cy="3505200"/>
            <wp:effectExtent l="0" t="0" r="0" b="0"/>
            <wp:docPr id="1" name="pca" descr="Scatter plot of respondents on the first two principal components, coloured by segment" title="PCA of investor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505200"/>
                    </a:xfrm>
                    <a:prstGeom prst="rect">
                      <a:avLst/>
                    </a:prstGeom>
                  </pic:spPr>
                </pic:pic>
              </a:graphicData>
            </a:graphic>
          </wp:inline>
        </w:drawing>
      </w:r>
    </w:p>
    <w:p w14:paraId="489028C1" w14:textId="77777777" w:rsidR="0091604A" w:rsidRDefault="00000000">
      <w:pPr>
        <w:spacing w:after="200"/>
        <w:jc w:val="center"/>
      </w:pPr>
      <w:r>
        <w:rPr>
          <w:i/>
          <w:iCs/>
          <w:color w:val="595959"/>
          <w:sz w:val="18"/>
          <w:szCs w:val="18"/>
        </w:rPr>
        <w:t xml:space="preserve">Figure 1. Respondents plotted on the first two principal components of their rankings, </w:t>
      </w:r>
      <w:proofErr w:type="spellStart"/>
      <w:r>
        <w:rPr>
          <w:i/>
          <w:iCs/>
          <w:color w:val="595959"/>
          <w:sz w:val="18"/>
          <w:szCs w:val="18"/>
        </w:rPr>
        <w:t>coloured</w:t>
      </w:r>
      <w:proofErr w:type="spellEnd"/>
      <w:r>
        <w:rPr>
          <w:i/>
          <w:iCs/>
          <w:color w:val="595959"/>
          <w:sz w:val="18"/>
          <w:szCs w:val="18"/>
        </w:rPr>
        <w:t xml:space="preserve"> by segment.</w:t>
      </w:r>
    </w:p>
    <w:p w14:paraId="5D7862B5" w14:textId="77777777" w:rsidR="0091604A" w:rsidRDefault="00000000">
      <w:pPr>
        <w:spacing w:after="120" w:line="300" w:lineRule="auto"/>
      </w:pPr>
      <w:r>
        <w:t>Darker points are places where two or more respondents have the same position, meaning identical or nearly identical rankings. Several of these appear in Segment 2 and one in Segment 3. The plot does not show how much of the total variation the two axes explain, so the distances should be read as indicative.</w:t>
      </w:r>
    </w:p>
    <w:p w14:paraId="6E6F977D" w14:textId="77777777" w:rsidR="0091604A" w:rsidRDefault="00000000">
      <w:pPr>
        <w:pStyle w:val="Heading1"/>
        <w:pBdr>
          <w:bottom w:val="single" w:sz="8" w:space="2" w:color="C9A227"/>
        </w:pBdr>
        <w:spacing w:before="300" w:after="120"/>
      </w:pPr>
      <w:r>
        <w:rPr>
          <w:b/>
          <w:bCs/>
          <w:color w:val="1F3864"/>
          <w:sz w:val="30"/>
          <w:szCs w:val="30"/>
        </w:rPr>
        <w:t>3. Where each segment sits</w:t>
      </w:r>
    </w:p>
    <w:p w14:paraId="4A13792A" w14:textId="77777777" w:rsidR="0091604A" w:rsidRDefault="00000000">
      <w:pPr>
        <w:spacing w:after="120" w:line="300" w:lineRule="auto"/>
      </w:pPr>
      <w:r>
        <w:t>Coordinates were read from the chart and are approximate.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00"/>
        <w:gridCol w:w="1800"/>
        <w:gridCol w:w="1800"/>
        <w:gridCol w:w="3100"/>
      </w:tblGrid>
      <w:tr w:rsidR="0091604A" w14:paraId="4B9ED6B0" w14:textId="77777777">
        <w:tblPrEx>
          <w:tblCellMar>
            <w:top w:w="0" w:type="dxa"/>
            <w:bottom w:w="0" w:type="dxa"/>
          </w:tblCellMar>
        </w:tblPrEx>
        <w:trPr>
          <w:tblHeader/>
        </w:trPr>
        <w:tc>
          <w:tcPr>
            <w:tcW w:w="17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90" w:type="dxa"/>
              <w:bottom w:w="70" w:type="dxa"/>
              <w:right w:w="90" w:type="dxa"/>
            </w:tcMar>
            <w:vAlign w:val="center"/>
          </w:tcPr>
          <w:p w14:paraId="681C29AE" w14:textId="77777777" w:rsidR="0091604A" w:rsidRDefault="00000000">
            <w:r>
              <w:rPr>
                <w:b/>
                <w:bCs/>
                <w:color w:val="FFFFFF"/>
                <w:sz w:val="19"/>
                <w:szCs w:val="19"/>
              </w:rPr>
              <w:t>Segment</w:t>
            </w:r>
          </w:p>
        </w:tc>
        <w:tc>
          <w:tcPr>
            <w:tcW w:w="7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90" w:type="dxa"/>
              <w:bottom w:w="70" w:type="dxa"/>
              <w:right w:w="90" w:type="dxa"/>
            </w:tcMar>
            <w:vAlign w:val="center"/>
          </w:tcPr>
          <w:p w14:paraId="1B77E7DB" w14:textId="77777777" w:rsidR="0091604A" w:rsidRDefault="00000000">
            <w:pPr>
              <w:jc w:val="center"/>
            </w:pPr>
            <w:r>
              <w:rPr>
                <w:b/>
                <w:bCs/>
                <w:color w:val="FFFFFF"/>
                <w:sz w:val="19"/>
                <w:szCs w:val="19"/>
              </w:rPr>
              <w:t>n</w:t>
            </w:r>
          </w:p>
        </w:tc>
        <w:tc>
          <w:tcPr>
            <w:tcW w:w="18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90" w:type="dxa"/>
              <w:bottom w:w="70" w:type="dxa"/>
              <w:right w:w="90" w:type="dxa"/>
            </w:tcMar>
            <w:vAlign w:val="center"/>
          </w:tcPr>
          <w:p w14:paraId="620688C2" w14:textId="77777777" w:rsidR="0091604A" w:rsidRDefault="00000000">
            <w:pPr>
              <w:jc w:val="center"/>
            </w:pPr>
            <w:r>
              <w:rPr>
                <w:b/>
                <w:bCs/>
                <w:color w:val="FFFFFF"/>
                <w:sz w:val="19"/>
                <w:szCs w:val="19"/>
              </w:rPr>
              <w:t>PC1 range (approx.)</w:t>
            </w:r>
          </w:p>
        </w:tc>
        <w:tc>
          <w:tcPr>
            <w:tcW w:w="18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90" w:type="dxa"/>
              <w:bottom w:w="70" w:type="dxa"/>
              <w:right w:w="90" w:type="dxa"/>
            </w:tcMar>
            <w:vAlign w:val="center"/>
          </w:tcPr>
          <w:p w14:paraId="2FB97044" w14:textId="77777777" w:rsidR="0091604A" w:rsidRDefault="00000000">
            <w:pPr>
              <w:jc w:val="center"/>
            </w:pPr>
            <w:r>
              <w:rPr>
                <w:b/>
                <w:bCs/>
                <w:color w:val="FFFFFF"/>
                <w:sz w:val="19"/>
                <w:szCs w:val="19"/>
              </w:rPr>
              <w:t>PC2 range (approx.)</w:t>
            </w:r>
          </w:p>
        </w:tc>
        <w:tc>
          <w:tcPr>
            <w:tcW w:w="31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90" w:type="dxa"/>
              <w:bottom w:w="70" w:type="dxa"/>
              <w:right w:w="90" w:type="dxa"/>
            </w:tcMar>
            <w:vAlign w:val="center"/>
          </w:tcPr>
          <w:p w14:paraId="7814A8DB" w14:textId="77777777" w:rsidR="0091604A" w:rsidRDefault="00000000">
            <w:pPr>
              <w:jc w:val="center"/>
            </w:pPr>
            <w:r>
              <w:rPr>
                <w:b/>
                <w:bCs/>
                <w:color w:val="FFFFFF"/>
                <w:sz w:val="19"/>
                <w:szCs w:val="19"/>
              </w:rPr>
              <w:t>Shape in the plot</w:t>
            </w:r>
          </w:p>
        </w:tc>
      </w:tr>
      <w:tr w:rsidR="0091604A" w14:paraId="000D7BC6"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tcMar>
              <w:top w:w="70" w:type="dxa"/>
              <w:left w:w="90" w:type="dxa"/>
              <w:bottom w:w="70" w:type="dxa"/>
              <w:right w:w="90" w:type="dxa"/>
            </w:tcMar>
            <w:vAlign w:val="center"/>
          </w:tcPr>
          <w:p w14:paraId="279F04F7" w14:textId="77777777" w:rsidR="0091604A" w:rsidRDefault="00000000">
            <w:r>
              <w:rPr>
                <w:b/>
                <w:bCs/>
                <w:sz w:val="19"/>
                <w:szCs w:val="19"/>
              </w:rPr>
              <w:t>Segment 1 (blue)</w:t>
            </w:r>
          </w:p>
        </w:tc>
        <w:tc>
          <w:tcPr>
            <w:tcW w:w="700" w:type="dxa"/>
            <w:tcBorders>
              <w:top w:val="single" w:sz="4" w:space="0" w:color="BFC8D6"/>
              <w:left w:val="single" w:sz="4" w:space="0" w:color="BFC8D6"/>
              <w:bottom w:val="single" w:sz="4" w:space="0" w:color="BFC8D6"/>
              <w:right w:val="single" w:sz="4" w:space="0" w:color="BFC8D6"/>
            </w:tcBorders>
            <w:tcMar>
              <w:top w:w="70" w:type="dxa"/>
              <w:left w:w="90" w:type="dxa"/>
              <w:bottom w:w="70" w:type="dxa"/>
              <w:right w:w="90" w:type="dxa"/>
            </w:tcMar>
            <w:vAlign w:val="center"/>
          </w:tcPr>
          <w:p w14:paraId="1A8E4835" w14:textId="77777777" w:rsidR="0091604A" w:rsidRDefault="00000000">
            <w:pPr>
              <w:jc w:val="center"/>
            </w:pPr>
            <w:r>
              <w:rPr>
                <w:sz w:val="19"/>
                <w:szCs w:val="19"/>
              </w:rPr>
              <w:t>4</w:t>
            </w:r>
          </w:p>
        </w:tc>
        <w:tc>
          <w:tcPr>
            <w:tcW w:w="1800" w:type="dxa"/>
            <w:tcBorders>
              <w:top w:val="single" w:sz="4" w:space="0" w:color="BFC8D6"/>
              <w:left w:val="single" w:sz="4" w:space="0" w:color="BFC8D6"/>
              <w:bottom w:val="single" w:sz="4" w:space="0" w:color="BFC8D6"/>
              <w:right w:val="single" w:sz="4" w:space="0" w:color="BFC8D6"/>
            </w:tcBorders>
            <w:tcMar>
              <w:top w:w="70" w:type="dxa"/>
              <w:left w:w="90" w:type="dxa"/>
              <w:bottom w:w="70" w:type="dxa"/>
              <w:right w:w="90" w:type="dxa"/>
            </w:tcMar>
            <w:vAlign w:val="center"/>
          </w:tcPr>
          <w:p w14:paraId="5F74CFE0" w14:textId="77777777" w:rsidR="0091604A" w:rsidRDefault="00000000">
            <w:pPr>
              <w:jc w:val="center"/>
            </w:pPr>
            <w:r>
              <w:rPr>
                <w:sz w:val="19"/>
                <w:szCs w:val="19"/>
              </w:rPr>
              <w:t>-4.5 to -2.7</w:t>
            </w:r>
          </w:p>
        </w:tc>
        <w:tc>
          <w:tcPr>
            <w:tcW w:w="1800" w:type="dxa"/>
            <w:tcBorders>
              <w:top w:val="single" w:sz="4" w:space="0" w:color="BFC8D6"/>
              <w:left w:val="single" w:sz="4" w:space="0" w:color="BFC8D6"/>
              <w:bottom w:val="single" w:sz="4" w:space="0" w:color="BFC8D6"/>
              <w:right w:val="single" w:sz="4" w:space="0" w:color="BFC8D6"/>
            </w:tcBorders>
            <w:tcMar>
              <w:top w:w="70" w:type="dxa"/>
              <w:left w:w="90" w:type="dxa"/>
              <w:bottom w:w="70" w:type="dxa"/>
              <w:right w:w="90" w:type="dxa"/>
            </w:tcMar>
            <w:vAlign w:val="center"/>
          </w:tcPr>
          <w:p w14:paraId="1F57AE2D" w14:textId="77777777" w:rsidR="0091604A" w:rsidRDefault="00000000">
            <w:pPr>
              <w:jc w:val="center"/>
            </w:pPr>
            <w:r>
              <w:rPr>
                <w:sz w:val="19"/>
                <w:szCs w:val="19"/>
              </w:rPr>
              <w:t>1.7 to 3.6</w:t>
            </w:r>
          </w:p>
        </w:tc>
        <w:tc>
          <w:tcPr>
            <w:tcW w:w="3100" w:type="dxa"/>
            <w:tcBorders>
              <w:top w:val="single" w:sz="4" w:space="0" w:color="BFC8D6"/>
              <w:left w:val="single" w:sz="4" w:space="0" w:color="BFC8D6"/>
              <w:bottom w:val="single" w:sz="4" w:space="0" w:color="BFC8D6"/>
              <w:right w:val="single" w:sz="4" w:space="0" w:color="BFC8D6"/>
            </w:tcBorders>
            <w:tcMar>
              <w:top w:w="70" w:type="dxa"/>
              <w:left w:w="90" w:type="dxa"/>
              <w:bottom w:w="70" w:type="dxa"/>
              <w:right w:w="90" w:type="dxa"/>
            </w:tcMar>
            <w:vAlign w:val="center"/>
          </w:tcPr>
          <w:p w14:paraId="01C1BA1C" w14:textId="77777777" w:rsidR="0091604A" w:rsidRDefault="00000000">
            <w:r>
              <w:rPr>
                <w:sz w:val="19"/>
                <w:szCs w:val="19"/>
              </w:rPr>
              <w:t>Tight group, upper left</w:t>
            </w:r>
          </w:p>
        </w:tc>
      </w:tr>
      <w:tr w:rsidR="0091604A" w14:paraId="304F184C"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90" w:type="dxa"/>
              <w:bottom w:w="70" w:type="dxa"/>
              <w:right w:w="90" w:type="dxa"/>
            </w:tcMar>
            <w:vAlign w:val="center"/>
          </w:tcPr>
          <w:p w14:paraId="205205DE" w14:textId="77777777" w:rsidR="0091604A" w:rsidRDefault="00000000">
            <w:r>
              <w:rPr>
                <w:b/>
                <w:bCs/>
                <w:sz w:val="19"/>
                <w:szCs w:val="19"/>
              </w:rPr>
              <w:t>Segment 2 (orange)</w:t>
            </w:r>
          </w:p>
        </w:tc>
        <w:tc>
          <w:tcPr>
            <w:tcW w:w="7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90" w:type="dxa"/>
              <w:bottom w:w="70" w:type="dxa"/>
              <w:right w:w="90" w:type="dxa"/>
            </w:tcMar>
            <w:vAlign w:val="center"/>
          </w:tcPr>
          <w:p w14:paraId="05B7E333" w14:textId="77777777" w:rsidR="0091604A" w:rsidRDefault="00000000">
            <w:pPr>
              <w:jc w:val="center"/>
            </w:pPr>
            <w:r>
              <w:rPr>
                <w:sz w:val="19"/>
                <w:szCs w:val="19"/>
              </w:rPr>
              <w:t>31</w:t>
            </w:r>
          </w:p>
        </w:tc>
        <w:tc>
          <w:tcPr>
            <w:tcW w:w="18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90" w:type="dxa"/>
              <w:bottom w:w="70" w:type="dxa"/>
              <w:right w:w="90" w:type="dxa"/>
            </w:tcMar>
            <w:vAlign w:val="center"/>
          </w:tcPr>
          <w:p w14:paraId="7A93BDF4" w14:textId="77777777" w:rsidR="0091604A" w:rsidRDefault="00000000">
            <w:pPr>
              <w:jc w:val="center"/>
            </w:pPr>
            <w:r>
              <w:rPr>
                <w:sz w:val="19"/>
                <w:szCs w:val="19"/>
              </w:rPr>
              <w:t>-0.5 to 2.9</w:t>
            </w:r>
          </w:p>
        </w:tc>
        <w:tc>
          <w:tcPr>
            <w:tcW w:w="18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90" w:type="dxa"/>
              <w:bottom w:w="70" w:type="dxa"/>
              <w:right w:w="90" w:type="dxa"/>
            </w:tcMar>
            <w:vAlign w:val="center"/>
          </w:tcPr>
          <w:p w14:paraId="10EB3876" w14:textId="77777777" w:rsidR="0091604A" w:rsidRDefault="00000000">
            <w:pPr>
              <w:jc w:val="center"/>
            </w:pPr>
            <w:r>
              <w:rPr>
                <w:sz w:val="19"/>
                <w:szCs w:val="19"/>
              </w:rPr>
              <w:t>-3.1 to 3.6</w:t>
            </w:r>
          </w:p>
        </w:tc>
        <w:tc>
          <w:tcPr>
            <w:tcW w:w="3100" w:type="dxa"/>
            <w:tcBorders>
              <w:top w:val="single" w:sz="4" w:space="0" w:color="BFC8D6"/>
              <w:left w:val="single" w:sz="4" w:space="0" w:color="BFC8D6"/>
              <w:bottom w:val="single" w:sz="4" w:space="0" w:color="BFC8D6"/>
              <w:right w:val="single" w:sz="4" w:space="0" w:color="BFC8D6"/>
            </w:tcBorders>
            <w:shd w:val="clear" w:color="auto" w:fill="EEF2F8"/>
            <w:tcMar>
              <w:top w:w="70" w:type="dxa"/>
              <w:left w:w="90" w:type="dxa"/>
              <w:bottom w:w="70" w:type="dxa"/>
              <w:right w:w="90" w:type="dxa"/>
            </w:tcMar>
            <w:vAlign w:val="center"/>
          </w:tcPr>
          <w:p w14:paraId="2AE1B7A6" w14:textId="77777777" w:rsidR="0091604A" w:rsidRDefault="00000000">
            <w:r>
              <w:rPr>
                <w:sz w:val="19"/>
                <w:szCs w:val="19"/>
              </w:rPr>
              <w:t xml:space="preserve">Dense core, right of </w:t>
            </w:r>
            <w:proofErr w:type="spellStart"/>
            <w:r>
              <w:rPr>
                <w:sz w:val="19"/>
                <w:szCs w:val="19"/>
              </w:rPr>
              <w:t>centre</w:t>
            </w:r>
            <w:proofErr w:type="spellEnd"/>
            <w:r>
              <w:rPr>
                <w:sz w:val="19"/>
                <w:szCs w:val="19"/>
              </w:rPr>
              <w:t>, with a few points stretched up and down</w:t>
            </w:r>
          </w:p>
        </w:tc>
      </w:tr>
      <w:tr w:rsidR="0091604A" w14:paraId="3CC14D65" w14:textId="77777777">
        <w:tblPrEx>
          <w:tblCellMar>
            <w:top w:w="0" w:type="dxa"/>
            <w:bottom w:w="0" w:type="dxa"/>
          </w:tblCellMar>
        </w:tblPrEx>
        <w:tc>
          <w:tcPr>
            <w:tcW w:w="1700" w:type="dxa"/>
            <w:tcBorders>
              <w:top w:val="single" w:sz="4" w:space="0" w:color="BFC8D6"/>
              <w:left w:val="single" w:sz="4" w:space="0" w:color="BFC8D6"/>
              <w:bottom w:val="single" w:sz="4" w:space="0" w:color="BFC8D6"/>
              <w:right w:val="single" w:sz="4" w:space="0" w:color="BFC8D6"/>
            </w:tcBorders>
            <w:tcMar>
              <w:top w:w="70" w:type="dxa"/>
              <w:left w:w="90" w:type="dxa"/>
              <w:bottom w:w="70" w:type="dxa"/>
              <w:right w:w="90" w:type="dxa"/>
            </w:tcMar>
            <w:vAlign w:val="center"/>
          </w:tcPr>
          <w:p w14:paraId="6563EFE7" w14:textId="77777777" w:rsidR="0091604A" w:rsidRDefault="00000000">
            <w:r>
              <w:rPr>
                <w:b/>
                <w:bCs/>
                <w:sz w:val="19"/>
                <w:szCs w:val="19"/>
              </w:rPr>
              <w:t>Segment 3 (green)</w:t>
            </w:r>
          </w:p>
        </w:tc>
        <w:tc>
          <w:tcPr>
            <w:tcW w:w="700" w:type="dxa"/>
            <w:tcBorders>
              <w:top w:val="single" w:sz="4" w:space="0" w:color="BFC8D6"/>
              <w:left w:val="single" w:sz="4" w:space="0" w:color="BFC8D6"/>
              <w:bottom w:val="single" w:sz="4" w:space="0" w:color="BFC8D6"/>
              <w:right w:val="single" w:sz="4" w:space="0" w:color="BFC8D6"/>
            </w:tcBorders>
            <w:tcMar>
              <w:top w:w="70" w:type="dxa"/>
              <w:left w:w="90" w:type="dxa"/>
              <w:bottom w:w="70" w:type="dxa"/>
              <w:right w:w="90" w:type="dxa"/>
            </w:tcMar>
            <w:vAlign w:val="center"/>
          </w:tcPr>
          <w:p w14:paraId="45F75805" w14:textId="77777777" w:rsidR="0091604A" w:rsidRDefault="00000000">
            <w:pPr>
              <w:jc w:val="center"/>
            </w:pPr>
            <w:r>
              <w:rPr>
                <w:sz w:val="19"/>
                <w:szCs w:val="19"/>
              </w:rPr>
              <w:t>5</w:t>
            </w:r>
          </w:p>
        </w:tc>
        <w:tc>
          <w:tcPr>
            <w:tcW w:w="1800" w:type="dxa"/>
            <w:tcBorders>
              <w:top w:val="single" w:sz="4" w:space="0" w:color="BFC8D6"/>
              <w:left w:val="single" w:sz="4" w:space="0" w:color="BFC8D6"/>
              <w:bottom w:val="single" w:sz="4" w:space="0" w:color="BFC8D6"/>
              <w:right w:val="single" w:sz="4" w:space="0" w:color="BFC8D6"/>
            </w:tcBorders>
            <w:tcMar>
              <w:top w:w="70" w:type="dxa"/>
              <w:left w:w="90" w:type="dxa"/>
              <w:bottom w:w="70" w:type="dxa"/>
              <w:right w:w="90" w:type="dxa"/>
            </w:tcMar>
            <w:vAlign w:val="center"/>
          </w:tcPr>
          <w:p w14:paraId="3CF88F42" w14:textId="77777777" w:rsidR="0091604A" w:rsidRDefault="00000000">
            <w:pPr>
              <w:jc w:val="center"/>
            </w:pPr>
            <w:r>
              <w:rPr>
                <w:sz w:val="19"/>
                <w:szCs w:val="19"/>
              </w:rPr>
              <w:t>-6.2 to -2.4</w:t>
            </w:r>
          </w:p>
        </w:tc>
        <w:tc>
          <w:tcPr>
            <w:tcW w:w="1800" w:type="dxa"/>
            <w:tcBorders>
              <w:top w:val="single" w:sz="4" w:space="0" w:color="BFC8D6"/>
              <w:left w:val="single" w:sz="4" w:space="0" w:color="BFC8D6"/>
              <w:bottom w:val="single" w:sz="4" w:space="0" w:color="BFC8D6"/>
              <w:right w:val="single" w:sz="4" w:space="0" w:color="BFC8D6"/>
            </w:tcBorders>
            <w:tcMar>
              <w:top w:w="70" w:type="dxa"/>
              <w:left w:w="90" w:type="dxa"/>
              <w:bottom w:w="70" w:type="dxa"/>
              <w:right w:w="90" w:type="dxa"/>
            </w:tcMar>
            <w:vAlign w:val="center"/>
          </w:tcPr>
          <w:p w14:paraId="269CAFD8" w14:textId="77777777" w:rsidR="0091604A" w:rsidRDefault="00000000">
            <w:pPr>
              <w:jc w:val="center"/>
            </w:pPr>
            <w:r>
              <w:rPr>
                <w:sz w:val="19"/>
                <w:szCs w:val="19"/>
              </w:rPr>
              <w:t>-3.6 to 1.5</w:t>
            </w:r>
          </w:p>
        </w:tc>
        <w:tc>
          <w:tcPr>
            <w:tcW w:w="3100" w:type="dxa"/>
            <w:tcBorders>
              <w:top w:val="single" w:sz="4" w:space="0" w:color="BFC8D6"/>
              <w:left w:val="single" w:sz="4" w:space="0" w:color="BFC8D6"/>
              <w:bottom w:val="single" w:sz="4" w:space="0" w:color="BFC8D6"/>
              <w:right w:val="single" w:sz="4" w:space="0" w:color="BFC8D6"/>
            </w:tcBorders>
            <w:tcMar>
              <w:top w:w="70" w:type="dxa"/>
              <w:left w:w="90" w:type="dxa"/>
              <w:bottom w:w="70" w:type="dxa"/>
              <w:right w:w="90" w:type="dxa"/>
            </w:tcMar>
            <w:vAlign w:val="center"/>
          </w:tcPr>
          <w:p w14:paraId="6412B547" w14:textId="77777777" w:rsidR="0091604A" w:rsidRDefault="00000000">
            <w:r>
              <w:rPr>
                <w:sz w:val="19"/>
                <w:szCs w:val="19"/>
              </w:rPr>
              <w:t>Loosest group, far left, spread top to bottom</w:t>
            </w:r>
          </w:p>
        </w:tc>
      </w:tr>
    </w:tbl>
    <w:p w14:paraId="5EC2E50B" w14:textId="77777777" w:rsidR="0091604A" w:rsidRDefault="0091604A">
      <w:pPr>
        <w:spacing w:after="120"/>
      </w:pPr>
    </w:p>
    <w:p w14:paraId="75D9D087" w14:textId="77777777" w:rsidR="0091604A" w:rsidRDefault="00000000">
      <w:pPr>
        <w:pStyle w:val="Heading2"/>
        <w:spacing w:before="200" w:after="80"/>
      </w:pPr>
      <w:r>
        <w:rPr>
          <w:b/>
          <w:bCs/>
          <w:color w:val="1F3864"/>
          <w:sz w:val="25"/>
          <w:szCs w:val="25"/>
        </w:rPr>
        <w:t>Segment 1 (n=4)</w:t>
      </w:r>
    </w:p>
    <w:p w14:paraId="4021BCB6" w14:textId="77777777" w:rsidR="0091604A" w:rsidRDefault="00000000">
      <w:pPr>
        <w:spacing w:after="120" w:line="300" w:lineRule="auto"/>
      </w:pPr>
      <w:r>
        <w:t>The four blue points form the most compact group, with two near PC2 3.5 and two near PC2 1.8, all between PC1 -4.5 and -2.7. They are clearly set apart from Segment 2. This matches their heatmap profile, where Mutual Funds and Equity Market rank first and nearly every other avenue ranks poorly.</w:t>
      </w:r>
    </w:p>
    <w:p w14:paraId="69515AB8" w14:textId="77777777" w:rsidR="0091604A" w:rsidRDefault="00000000">
      <w:pPr>
        <w:pStyle w:val="Heading2"/>
        <w:spacing w:before="200" w:after="80"/>
      </w:pPr>
      <w:r>
        <w:rPr>
          <w:b/>
          <w:bCs/>
          <w:color w:val="1F3864"/>
          <w:sz w:val="25"/>
          <w:szCs w:val="25"/>
        </w:rPr>
        <w:t>Segment 2 (n=31)</w:t>
      </w:r>
    </w:p>
    <w:p w14:paraId="7112456B" w14:textId="77777777" w:rsidR="0091604A" w:rsidRDefault="00000000">
      <w:pPr>
        <w:spacing w:after="120" w:line="300" w:lineRule="auto"/>
      </w:pPr>
      <w:r>
        <w:t xml:space="preserve">This is the main cloud, </w:t>
      </w:r>
      <w:proofErr w:type="spellStart"/>
      <w:r>
        <w:t>centred</w:t>
      </w:r>
      <w:proofErr w:type="spellEnd"/>
      <w:r>
        <w:t xml:space="preserve"> around PC1 1 and PC2 0, and it holds 77.5% of respondents. Its core is tight, but three points lie well outside it: two at the top (about 0.2 and 0.9 on PC1, with PC2 above 3) and one at the bottom (PC1 about 0.4, PC2 about -3.1). They share the vertical positions of Segment 1 </w:t>
      </w:r>
      <w:r>
        <w:lastRenderedPageBreak/>
        <w:t>and Segment 3 but remain on the Segment 2 side of PC1, which hints at sub-groups with a slight growth lean or a slight bond lean inside the majority segment.</w:t>
      </w:r>
    </w:p>
    <w:p w14:paraId="64FE0E62" w14:textId="77777777" w:rsidR="0091604A" w:rsidRDefault="00000000">
      <w:pPr>
        <w:pStyle w:val="Heading2"/>
        <w:spacing w:before="200" w:after="80"/>
      </w:pPr>
      <w:r>
        <w:rPr>
          <w:b/>
          <w:bCs/>
          <w:color w:val="1F3864"/>
          <w:sz w:val="25"/>
          <w:szCs w:val="25"/>
        </w:rPr>
        <w:t>Segment 3 (n=5)</w:t>
      </w:r>
    </w:p>
    <w:p w14:paraId="017AB0D4" w14:textId="77777777" w:rsidR="0091604A" w:rsidRDefault="00000000">
      <w:pPr>
        <w:spacing w:after="120" w:line="300" w:lineRule="auto"/>
      </w:pPr>
      <w:r>
        <w:t>The green points are the most spread out. Two sit at the extreme left (PC1 about -6.2), one at PC2 1.5 and one at -2.15, and the other three are in the lower half near PC2 -2.6 and -3.6 (one visible point is darker, indicating two respondents in the same spot). The upper left point at (-6.2, 1.5) is about 1.7 units from the nearest Segment 1 point, so it is the closest thing to a borderline case between the two small segments.</w:t>
      </w:r>
    </w:p>
    <w:p w14:paraId="5ADE65B8" w14:textId="77777777" w:rsidR="0091604A" w:rsidRDefault="00000000">
      <w:pPr>
        <w:pStyle w:val="Heading1"/>
        <w:pBdr>
          <w:bottom w:val="single" w:sz="8" w:space="2" w:color="C9A227"/>
        </w:pBdr>
        <w:spacing w:before="300" w:after="120"/>
      </w:pPr>
      <w:r>
        <w:rPr>
          <w:b/>
          <w:bCs/>
          <w:color w:val="1F3864"/>
          <w:sz w:val="30"/>
          <w:szCs w:val="30"/>
        </w:rPr>
        <w:t>4. What the axes may represent</w:t>
      </w:r>
    </w:p>
    <w:p w14:paraId="20F1203C" w14:textId="77777777" w:rsidR="0091604A" w:rsidRDefault="00000000">
      <w:pPr>
        <w:spacing w:after="120" w:line="300" w:lineRule="auto"/>
      </w:pPr>
      <w:r>
        <w:t>The chart does not give the loadings, so the meaning of each axis has to be inferred. Using the mean ranks from the heatmap report, the avenues that differ most between segments are the likely drivers:</w:t>
      </w:r>
    </w:p>
    <w:p w14:paraId="5D6E5B50" w14:textId="77777777" w:rsidR="0091604A" w:rsidRDefault="00000000">
      <w:pPr>
        <w:pStyle w:val="ListParagraph"/>
        <w:numPr>
          <w:ilvl w:val="0"/>
          <w:numId w:val="2"/>
        </w:numPr>
        <w:spacing w:after="80" w:line="290" w:lineRule="auto"/>
      </w:pPr>
      <w:r>
        <w:rPr>
          <w:b/>
          <w:bCs/>
        </w:rPr>
        <w:t xml:space="preserve">PC1 probably reflects Debentures versus Fixed Deposits. </w:t>
      </w:r>
      <w:r>
        <w:t>Segment 2 ranks Debentures last (6.5) and Fixed Deposits third (3.0), while Segments 1 and 3 do the reverse (Debentures 3.5 and 2.8, Fixed Deposits 5.5 and 5.8).</w:t>
      </w:r>
    </w:p>
    <w:p w14:paraId="6DB1EAC5" w14:textId="77777777" w:rsidR="0091604A" w:rsidRDefault="00000000">
      <w:pPr>
        <w:pStyle w:val="ListParagraph"/>
        <w:numPr>
          <w:ilvl w:val="0"/>
          <w:numId w:val="2"/>
        </w:numPr>
        <w:spacing w:after="80" w:line="290" w:lineRule="auto"/>
      </w:pPr>
      <w:r>
        <w:rPr>
          <w:b/>
          <w:bCs/>
        </w:rPr>
        <w:t xml:space="preserve">PC2 probably separates market-linked from bond-type preferences. </w:t>
      </w:r>
      <w:r>
        <w:t>Segment 1 prefers Mutual Funds and Equity Market, whereas Segment 3 prefers Government Bonds and PPF.</w:t>
      </w:r>
    </w:p>
    <w:p w14:paraId="5D88782F" w14:textId="77777777" w:rsidR="0091604A" w:rsidRDefault="00000000">
      <w:pPr>
        <w:spacing w:after="120" w:line="300" w:lineRule="auto"/>
      </w:pPr>
      <w:r>
        <w:t>These are hypotheses, and they should be confirmed against the component loadings before being stated as findings.</w:t>
      </w:r>
    </w:p>
    <w:p w14:paraId="57777D36" w14:textId="77777777" w:rsidR="0091604A" w:rsidRDefault="00000000">
      <w:pPr>
        <w:pStyle w:val="Heading1"/>
        <w:pBdr>
          <w:bottom w:val="single" w:sz="8" w:space="2" w:color="C9A227"/>
        </w:pBdr>
        <w:spacing w:before="300" w:after="120"/>
      </w:pPr>
      <w:r>
        <w:rPr>
          <w:b/>
          <w:bCs/>
          <w:color w:val="1F3864"/>
          <w:sz w:val="30"/>
          <w:szCs w:val="30"/>
        </w:rPr>
        <w:t>5. Caveats</w:t>
      </w:r>
    </w:p>
    <w:p w14:paraId="1E0B6E2A" w14:textId="77777777" w:rsidR="0091604A" w:rsidRDefault="00000000">
      <w:pPr>
        <w:pStyle w:val="ListParagraph"/>
        <w:numPr>
          <w:ilvl w:val="0"/>
          <w:numId w:val="2"/>
        </w:numPr>
        <w:spacing w:after="80" w:line="290" w:lineRule="auto"/>
      </w:pPr>
      <w:r>
        <w:rPr>
          <w:b/>
          <w:bCs/>
        </w:rPr>
        <w:t xml:space="preserve">Circular validation. </w:t>
      </w:r>
      <w:r>
        <w:t>If the segments were produced by clustering the same rankings, they are expected to look separated here. The plot shows the clustering is coherent, not that the groups are real.</w:t>
      </w:r>
    </w:p>
    <w:p w14:paraId="378E0A2A" w14:textId="77777777" w:rsidR="0091604A" w:rsidRDefault="00000000">
      <w:pPr>
        <w:pStyle w:val="ListParagraph"/>
        <w:numPr>
          <w:ilvl w:val="0"/>
          <w:numId w:val="2"/>
        </w:numPr>
        <w:spacing w:after="80" w:line="290" w:lineRule="auto"/>
      </w:pPr>
      <w:r>
        <w:rPr>
          <w:b/>
          <w:bCs/>
        </w:rPr>
        <w:t xml:space="preserve">Tiny segments. </w:t>
      </w:r>
      <w:r>
        <w:t>With 4 and 5 points, Segments 1 and 3 cannot support strong conclusions, and removing one respondent would change their shape.</w:t>
      </w:r>
    </w:p>
    <w:p w14:paraId="5F28BCFB" w14:textId="77777777" w:rsidR="0091604A" w:rsidRDefault="00000000">
      <w:pPr>
        <w:pStyle w:val="ListParagraph"/>
        <w:numPr>
          <w:ilvl w:val="0"/>
          <w:numId w:val="2"/>
        </w:numPr>
        <w:spacing w:after="80" w:line="290" w:lineRule="auto"/>
      </w:pPr>
      <w:r>
        <w:rPr>
          <w:b/>
          <w:bCs/>
        </w:rPr>
        <w:t xml:space="preserve">Two dimensions only. </w:t>
      </w:r>
      <w:r>
        <w:t>The rankings have seven dimensions, effectively six because each respondent's ranks must sum to 28. Overlaps or gaps in two dimensions may differ in the full space.</w:t>
      </w:r>
    </w:p>
    <w:p w14:paraId="38E6CD37" w14:textId="77777777" w:rsidR="0091604A" w:rsidRDefault="00000000">
      <w:pPr>
        <w:pStyle w:val="ListParagraph"/>
        <w:numPr>
          <w:ilvl w:val="0"/>
          <w:numId w:val="2"/>
        </w:numPr>
        <w:spacing w:after="80" w:line="290" w:lineRule="auto"/>
      </w:pPr>
      <w:r>
        <w:rPr>
          <w:b/>
          <w:bCs/>
        </w:rPr>
        <w:t xml:space="preserve">Explained variance not shown. </w:t>
      </w:r>
      <w:r>
        <w:t>Without the percentage of variance on PC1 and PC2, we cannot tell how faithfully the plot represents the data.</w:t>
      </w:r>
    </w:p>
    <w:p w14:paraId="095B7D44" w14:textId="77777777" w:rsidR="0091604A" w:rsidRDefault="00000000">
      <w:pPr>
        <w:pStyle w:val="ListParagraph"/>
        <w:numPr>
          <w:ilvl w:val="0"/>
          <w:numId w:val="2"/>
        </w:numPr>
        <w:spacing w:after="80" w:line="290" w:lineRule="auto"/>
      </w:pPr>
      <w:r>
        <w:rPr>
          <w:b/>
          <w:bCs/>
        </w:rPr>
        <w:t xml:space="preserve">No respondent identifiers. </w:t>
      </w:r>
      <w:r>
        <w:t>Individual points cannot be traced back to people, so outliers and borderline cases cannot yet be investigated.</w:t>
      </w:r>
    </w:p>
    <w:p w14:paraId="15E15BB8" w14:textId="77777777" w:rsidR="0091604A" w:rsidRDefault="00000000">
      <w:pPr>
        <w:pStyle w:val="Heading1"/>
        <w:pBdr>
          <w:bottom w:val="single" w:sz="8" w:space="2" w:color="C9A227"/>
        </w:pBdr>
        <w:spacing w:before="300" w:after="120"/>
      </w:pPr>
      <w:r>
        <w:rPr>
          <w:b/>
          <w:bCs/>
          <w:color w:val="1F3864"/>
          <w:sz w:val="30"/>
          <w:szCs w:val="30"/>
        </w:rPr>
        <w:t>6. Recommendations</w:t>
      </w:r>
    </w:p>
    <w:p w14:paraId="0188564C" w14:textId="77777777" w:rsidR="0091604A" w:rsidRDefault="00000000">
      <w:pPr>
        <w:pStyle w:val="ListParagraph"/>
        <w:numPr>
          <w:ilvl w:val="0"/>
          <w:numId w:val="2"/>
        </w:numPr>
        <w:spacing w:after="80" w:line="290" w:lineRule="auto"/>
      </w:pPr>
      <w:r>
        <w:t>Add the explained variance to the axis labels and publish the loadings so that PC1 and PC2 can be interpreted rather than guessed.</w:t>
      </w:r>
    </w:p>
    <w:p w14:paraId="66635AC7" w14:textId="77777777" w:rsidR="0091604A" w:rsidRDefault="00000000">
      <w:pPr>
        <w:pStyle w:val="ListParagraph"/>
        <w:numPr>
          <w:ilvl w:val="0"/>
          <w:numId w:val="2"/>
        </w:numPr>
        <w:spacing w:after="80" w:line="290" w:lineRule="auto"/>
      </w:pPr>
      <w:r>
        <w:lastRenderedPageBreak/>
        <w:t>Test a two-group solution (Segment 2 versus everyone else). The plot suggests that is the clearest boundary, and Segments 1 and 3 may be better treated as one group or as a long-tail of minority preferences.</w:t>
      </w:r>
    </w:p>
    <w:p w14:paraId="0C9E74D7" w14:textId="77777777" w:rsidR="0091604A" w:rsidRDefault="00000000">
      <w:pPr>
        <w:pStyle w:val="ListParagraph"/>
        <w:numPr>
          <w:ilvl w:val="0"/>
          <w:numId w:val="2"/>
        </w:numPr>
        <w:spacing w:after="80" w:line="290" w:lineRule="auto"/>
      </w:pPr>
      <w:r>
        <w:t>Measure cluster quality with silhouette scores and repeat the clustering on resampled data to check that the three segments are stable.</w:t>
      </w:r>
    </w:p>
    <w:p w14:paraId="35F5144D" w14:textId="77777777" w:rsidR="0091604A" w:rsidRDefault="00000000">
      <w:pPr>
        <w:pStyle w:val="ListParagraph"/>
        <w:numPr>
          <w:ilvl w:val="0"/>
          <w:numId w:val="2"/>
        </w:numPr>
        <w:spacing w:after="80" w:line="290" w:lineRule="auto"/>
      </w:pPr>
      <w:r>
        <w:t>Label the outliers (the three stretched Segment 2 points and the upper-left Segment 3 point) and review their full rankings.</w:t>
      </w:r>
    </w:p>
    <w:p w14:paraId="1618B0A8" w14:textId="77777777" w:rsidR="0091604A" w:rsidRDefault="00000000">
      <w:pPr>
        <w:pStyle w:val="ListParagraph"/>
        <w:numPr>
          <w:ilvl w:val="0"/>
          <w:numId w:val="2"/>
        </w:numPr>
        <w:spacing w:after="80" w:line="290" w:lineRule="auto"/>
      </w:pPr>
      <w:r>
        <w:t>Look inside Segment 2 for the upper and lower sub-groups, since it holds most respondents and its mean profile may hide different preferences.</w:t>
      </w:r>
    </w:p>
    <w:p w14:paraId="4C3DD8F9" w14:textId="77777777" w:rsidR="0091604A" w:rsidRDefault="00000000">
      <w:pPr>
        <w:pStyle w:val="ListParagraph"/>
        <w:numPr>
          <w:ilvl w:val="0"/>
          <w:numId w:val="2"/>
        </w:numPr>
        <w:spacing w:after="80" w:line="290" w:lineRule="auto"/>
      </w:pPr>
      <w:r>
        <w:t>Collect more respondents so that the minority segments can be profiled with confidence.</w:t>
      </w:r>
    </w:p>
    <w:sectPr w:rsidR="0091604A">
      <w:footerReference w:type="default" r:id="rId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A11C" w14:textId="77777777" w:rsidR="003B12A5" w:rsidRDefault="003B12A5">
      <w:r>
        <w:separator/>
      </w:r>
    </w:p>
  </w:endnote>
  <w:endnote w:type="continuationSeparator" w:id="0">
    <w:p w14:paraId="671A25A3" w14:textId="77777777" w:rsidR="003B12A5" w:rsidRDefault="003B1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3888" w14:textId="77777777" w:rsidR="0091604A" w:rsidRDefault="00000000">
    <w:pPr>
      <w:jc w:val="center"/>
    </w:pPr>
    <w:r>
      <w:rPr>
        <w:color w:val="7F7F7F"/>
        <w:sz w:val="17"/>
        <w:szCs w:val="17"/>
      </w:rPr>
      <w:t xml:space="preserve">Segment Separation </w:t>
    </w:r>
    <w:proofErr w:type="gramStart"/>
    <w:r>
      <w:rPr>
        <w:color w:val="7F7F7F"/>
        <w:sz w:val="17"/>
        <w:szCs w:val="17"/>
      </w:rPr>
      <w:t>Report  |</w:t>
    </w:r>
    <w:proofErr w:type="gramEnd"/>
    <w:r>
      <w:rPr>
        <w:color w:val="7F7F7F"/>
        <w:sz w:val="17"/>
        <w:szCs w:val="17"/>
      </w:rPr>
      <w:t xml:space="preserve">  Page </w:t>
    </w:r>
    <w:r>
      <w:rPr>
        <w:color w:val="7F7F7F"/>
        <w:sz w:val="17"/>
        <w:szCs w:val="17"/>
      </w:rPr>
      <w:fldChar w:fldCharType="begin"/>
    </w:r>
    <w:r>
      <w:rPr>
        <w:color w:val="7F7F7F"/>
        <w:sz w:val="17"/>
        <w:szCs w:val="17"/>
      </w:rPr>
      <w:instrText>PAGE</w:instrText>
    </w:r>
    <w:r>
      <w:rPr>
        <w:color w:val="7F7F7F"/>
        <w:sz w:val="17"/>
        <w:szCs w:val="17"/>
      </w:rPr>
      <w:fldChar w:fldCharType="separate"/>
    </w:r>
    <w:r w:rsidR="00F801FC">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03202" w14:textId="77777777" w:rsidR="003B12A5" w:rsidRDefault="003B12A5">
      <w:r>
        <w:separator/>
      </w:r>
    </w:p>
  </w:footnote>
  <w:footnote w:type="continuationSeparator" w:id="0">
    <w:p w14:paraId="40C9AE1B" w14:textId="77777777" w:rsidR="003B12A5" w:rsidRDefault="003B12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729D8"/>
    <w:multiLevelType w:val="hybridMultilevel"/>
    <w:tmpl w:val="8DF6BB62"/>
    <w:lvl w:ilvl="0" w:tplc="249619C6">
      <w:start w:val="1"/>
      <w:numFmt w:val="bullet"/>
      <w:lvlText w:val="●"/>
      <w:lvlJc w:val="left"/>
      <w:pPr>
        <w:ind w:left="720" w:hanging="360"/>
      </w:pPr>
    </w:lvl>
    <w:lvl w:ilvl="1" w:tplc="0BB6AAD4">
      <w:start w:val="1"/>
      <w:numFmt w:val="bullet"/>
      <w:lvlText w:val="○"/>
      <w:lvlJc w:val="left"/>
      <w:pPr>
        <w:ind w:left="1440" w:hanging="360"/>
      </w:pPr>
    </w:lvl>
    <w:lvl w:ilvl="2" w:tplc="2CE826EA">
      <w:start w:val="1"/>
      <w:numFmt w:val="bullet"/>
      <w:lvlText w:val="■"/>
      <w:lvlJc w:val="left"/>
      <w:pPr>
        <w:ind w:left="2160" w:hanging="360"/>
      </w:pPr>
    </w:lvl>
    <w:lvl w:ilvl="3" w:tplc="455EB508">
      <w:start w:val="1"/>
      <w:numFmt w:val="bullet"/>
      <w:lvlText w:val="●"/>
      <w:lvlJc w:val="left"/>
      <w:pPr>
        <w:ind w:left="2880" w:hanging="360"/>
      </w:pPr>
    </w:lvl>
    <w:lvl w:ilvl="4" w:tplc="8CF8A402">
      <w:start w:val="1"/>
      <w:numFmt w:val="bullet"/>
      <w:lvlText w:val="○"/>
      <w:lvlJc w:val="left"/>
      <w:pPr>
        <w:ind w:left="3600" w:hanging="360"/>
      </w:pPr>
    </w:lvl>
    <w:lvl w:ilvl="5" w:tplc="613A6A3E">
      <w:start w:val="1"/>
      <w:numFmt w:val="bullet"/>
      <w:lvlText w:val="■"/>
      <w:lvlJc w:val="left"/>
      <w:pPr>
        <w:ind w:left="4320" w:hanging="360"/>
      </w:pPr>
    </w:lvl>
    <w:lvl w:ilvl="6" w:tplc="4FF62050">
      <w:start w:val="1"/>
      <w:numFmt w:val="bullet"/>
      <w:lvlText w:val="●"/>
      <w:lvlJc w:val="left"/>
      <w:pPr>
        <w:ind w:left="5040" w:hanging="360"/>
      </w:pPr>
    </w:lvl>
    <w:lvl w:ilvl="7" w:tplc="ED2C606A">
      <w:start w:val="1"/>
      <w:numFmt w:val="bullet"/>
      <w:lvlText w:val="●"/>
      <w:lvlJc w:val="left"/>
      <w:pPr>
        <w:ind w:left="5760" w:hanging="360"/>
      </w:pPr>
    </w:lvl>
    <w:lvl w:ilvl="8" w:tplc="525E6D74">
      <w:start w:val="1"/>
      <w:numFmt w:val="bullet"/>
      <w:lvlText w:val="●"/>
      <w:lvlJc w:val="left"/>
      <w:pPr>
        <w:ind w:left="6480" w:hanging="360"/>
      </w:pPr>
    </w:lvl>
  </w:abstractNum>
  <w:abstractNum w:abstractNumId="1" w15:restartNumberingAfterBreak="0">
    <w:nsid w:val="639B749A"/>
    <w:multiLevelType w:val="hybridMultilevel"/>
    <w:tmpl w:val="F2C2AA08"/>
    <w:lvl w:ilvl="0" w:tplc="8E6C6760">
      <w:start w:val="1"/>
      <w:numFmt w:val="bullet"/>
      <w:lvlText w:val="•"/>
      <w:lvlJc w:val="left"/>
      <w:pPr>
        <w:ind w:left="540" w:hanging="270"/>
      </w:pPr>
      <w:rPr>
        <w:color w:val="C9A227"/>
      </w:rPr>
    </w:lvl>
    <w:lvl w:ilvl="1" w:tplc="486839A2">
      <w:numFmt w:val="decimal"/>
      <w:lvlText w:val=""/>
      <w:lvlJc w:val="left"/>
    </w:lvl>
    <w:lvl w:ilvl="2" w:tplc="6F627F42">
      <w:numFmt w:val="decimal"/>
      <w:lvlText w:val=""/>
      <w:lvlJc w:val="left"/>
    </w:lvl>
    <w:lvl w:ilvl="3" w:tplc="8BAAA268">
      <w:numFmt w:val="decimal"/>
      <w:lvlText w:val=""/>
      <w:lvlJc w:val="left"/>
    </w:lvl>
    <w:lvl w:ilvl="4" w:tplc="172A0052">
      <w:numFmt w:val="decimal"/>
      <w:lvlText w:val=""/>
      <w:lvlJc w:val="left"/>
    </w:lvl>
    <w:lvl w:ilvl="5" w:tplc="C2C45A40">
      <w:numFmt w:val="decimal"/>
      <w:lvlText w:val=""/>
      <w:lvlJc w:val="left"/>
    </w:lvl>
    <w:lvl w:ilvl="6" w:tplc="D81A0C56">
      <w:numFmt w:val="decimal"/>
      <w:lvlText w:val=""/>
      <w:lvlJc w:val="left"/>
    </w:lvl>
    <w:lvl w:ilvl="7" w:tplc="7C288B2A">
      <w:numFmt w:val="decimal"/>
      <w:lvlText w:val=""/>
      <w:lvlJc w:val="left"/>
    </w:lvl>
    <w:lvl w:ilvl="8" w:tplc="42F89346">
      <w:numFmt w:val="decimal"/>
      <w:lvlText w:val=""/>
      <w:lvlJc w:val="left"/>
    </w:lvl>
  </w:abstractNum>
  <w:num w:numId="1" w16cid:durableId="1373918007">
    <w:abstractNumId w:val="0"/>
    <w:lvlOverride w:ilvl="0">
      <w:startOverride w:val="1"/>
    </w:lvlOverride>
  </w:num>
  <w:num w:numId="2" w16cid:durableId="456921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04A"/>
    <w:rsid w:val="003B12A5"/>
    <w:rsid w:val="0091604A"/>
    <w:rsid w:val="00DC7B2D"/>
    <w:rsid w:val="00F80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D990"/>
  <w15:docId w15:val="{5D327846-50C6-443C-AB6E-BA0700654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hildegarde mukonyora</cp:lastModifiedBy>
  <cp:revision>2</cp:revision>
  <dcterms:created xsi:type="dcterms:W3CDTF">2026-10-14T19:03:00Z</dcterms:created>
  <dcterms:modified xsi:type="dcterms:W3CDTF">2026-10-14T19:03:00Z</dcterms:modified>
</cp:coreProperties>
</file>