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E0BB8" w14:textId="77777777" w:rsidR="00295828" w:rsidRPr="00143457" w:rsidRDefault="00000000">
      <w:pPr>
        <w:spacing w:after="40"/>
      </w:pPr>
      <w:r w:rsidRPr="00143457">
        <w:rPr>
          <w:rFonts w:eastAsia="Calibri"/>
          <w:b/>
          <w:bCs/>
          <w:color w:val="E27D60"/>
          <w:sz w:val="19"/>
          <w:szCs w:val="19"/>
        </w:rPr>
        <w:t>EXECUTIVE SUMMARY</w:t>
      </w:r>
    </w:p>
    <w:p w14:paraId="29245941" w14:textId="77777777" w:rsidR="00295828" w:rsidRPr="00143457" w:rsidRDefault="00000000">
      <w:pPr>
        <w:spacing w:after="200"/>
      </w:pPr>
      <w:r w:rsidRPr="00143457">
        <w:rPr>
          <w:rFonts w:eastAsia="Cambria"/>
          <w:b/>
          <w:bCs/>
          <w:color w:val="2B2D42"/>
          <w:sz w:val="40"/>
          <w:szCs w:val="40"/>
        </w:rPr>
        <w:t>Memaksimalkan Repeat Order Pelanggan Melalui Predictive Retention Model</w:t>
      </w:r>
    </w:p>
    <w:p w14:paraId="7280CA0F" w14:textId="77777777" w:rsidR="00295828" w:rsidRDefault="00000000">
      <w:pPr>
        <w:spacing w:after="130" w:line="288" w:lineRule="auto"/>
        <w:jc w:val="both"/>
      </w:pPr>
      <w:r>
        <w:rPr>
          <w:rFonts w:ascii="Calibri" w:eastAsia="Calibri" w:hAnsi="Calibri" w:cs="Calibri"/>
          <w:color w:val="2B2D42"/>
          <w:sz w:val="21"/>
          <w:szCs w:val="21"/>
        </w:rPr>
        <w:t>Perusahaan memiliki basis data historis transaksi pembiayaan sepeda motor yang besar, namun baru 12,9% dari 266.926 pelanggan yang tercatat melakukan pembelian ulang (repeat order/RO). Proyek ini bertujuan memahami pola perilaku di balik angka tersebut dan membangun model machine learning yang dapat memprediksi probabilitas RO seorang pelanggan hanya dari informasi yang tersedia pada hari transaksi pertama mereka — sehingga tim marketing dapat melakukan intervensi retensi secara proaktif dan tepat sasaran.</w:t>
      </w:r>
    </w:p>
    <w:p w14:paraId="51D48B2C" w14:textId="77777777" w:rsidR="00295828" w:rsidRDefault="00000000">
      <w:pPr>
        <w:pStyle w:val="Heading1"/>
        <w:pBdr>
          <w:bottom w:val="single" w:sz="6" w:space="4" w:color="1F7A6C"/>
        </w:pBdr>
        <w:spacing w:before="320" w:after="140"/>
      </w:pPr>
      <w:r>
        <w:rPr>
          <w:rFonts w:ascii="Cambria" w:eastAsia="Cambria" w:hAnsi="Cambria" w:cs="Cambria"/>
          <w:b/>
          <w:bCs/>
          <w:color w:val="2B2D42"/>
          <w:sz w:val="27"/>
          <w:szCs w:val="27"/>
        </w:rPr>
        <w:t>Latar Belakang</w:t>
      </w:r>
    </w:p>
    <w:p w14:paraId="61EBFC36" w14:textId="6A2A558C" w:rsidR="00295828" w:rsidRDefault="00000000">
      <w:pPr>
        <w:spacing w:after="130" w:line="288" w:lineRule="auto"/>
        <w:jc w:val="both"/>
      </w:pPr>
      <w:r>
        <w:rPr>
          <w:rFonts w:ascii="Calibri" w:eastAsia="Calibri" w:hAnsi="Calibri" w:cs="Calibri"/>
          <w:color w:val="2B2D42"/>
          <w:sz w:val="21"/>
          <w:szCs w:val="21"/>
        </w:rPr>
        <w:t>Industri sepeda motor nasional terus tumbuh, penjualan mencapai 6,41 juta unit pada 2025 (naik 1,3% YoY di tengah tekanan daya beli), dengan segmen skutik mendominasi 91,7% pasar dan 65% pembelian dibiayai melalui kredit (AISI, 2026). Skala pembiayaan kredit yang besar ini menciptakan basis pelanggan yang luas dan berkelanjutan, namun pertumbuhan pendapatan jangka panjang perusahaan bergantung pada kemampuan mengonversi pelanggan menjadi pembeli berulang, bukan sekadar akuisisi satu kali. Gap retensi sebesar 87,1% pembeli tunggal pada portofolio internal merepresentasikan peluang pendapatan signifikan yang belum tergarap secara terstruktur.</w:t>
      </w:r>
    </w:p>
    <w:p w14:paraId="35378CAB" w14:textId="77777777" w:rsidR="00295828" w:rsidRDefault="00000000">
      <w:pPr>
        <w:pStyle w:val="Heading1"/>
        <w:pBdr>
          <w:bottom w:val="single" w:sz="6" w:space="4" w:color="1F7A6C"/>
        </w:pBdr>
        <w:spacing w:before="320" w:after="140"/>
      </w:pPr>
      <w:r>
        <w:rPr>
          <w:rFonts w:ascii="Cambria" w:eastAsia="Cambria" w:hAnsi="Cambria" w:cs="Cambria"/>
          <w:b/>
          <w:bCs/>
          <w:color w:val="2B2D42"/>
          <w:sz w:val="27"/>
          <w:szCs w:val="27"/>
        </w:rPr>
        <w:t>Objektif &amp; Metodologi</w:t>
      </w:r>
    </w:p>
    <w:p w14:paraId="2F1C48ED" w14:textId="77777777" w:rsidR="00295828" w:rsidRDefault="00000000">
      <w:pPr>
        <w:spacing w:after="130" w:line="288" w:lineRule="auto"/>
        <w:jc w:val="both"/>
      </w:pPr>
      <w:r>
        <w:rPr>
          <w:rFonts w:ascii="Calibri" w:eastAsia="Calibri" w:hAnsi="Calibri" w:cs="Calibri"/>
          <w:color w:val="2B2D42"/>
          <w:sz w:val="21"/>
          <w:szCs w:val="21"/>
        </w:rPr>
        <w:t>Objektif proyek adalah memprediksi probabilitas Repeat Order pelanggan menggunakan profil transaksi hari pertama saja, guna mencegah data leakage dan memastikan model dapat diterapkan secara real-time pada pelanggan baru. Dataset mentah sebanyak 319.978 baris transaksi (2019–berjalan) dibersihkan (koreksi anomali finansial, standarisasi format), direkonstruksi menjadi 266.926 profil level-pelanggan, dan diperkaya dengan 17 fitur akhir mencakup rasio finansial (DP, cicilan terhadap OTR), demografi, recency, musiman, dan flag segmen produk. Class imbalance pada data latih ditangani melalui undersampling (bukan SMOTE) agar model mempelajari pola aktual, bukan data sintetis. Validasi model menggunakan 3-way split (train 70% / validation 20% / test 10%) agar data uji hanya disentuh satu kali untuk pelaporan akhir, menggantikan pendekatan sebelumnya yang berisiko menghasilkan estimasi performa terlalu optimis.</w:t>
      </w:r>
    </w:p>
    <w:p w14:paraId="6B26668A" w14:textId="77777777" w:rsidR="00295828" w:rsidRDefault="00000000">
      <w:pPr>
        <w:pStyle w:val="Heading1"/>
        <w:pBdr>
          <w:bottom w:val="single" w:sz="6" w:space="4" w:color="1F7A6C"/>
        </w:pBdr>
        <w:spacing w:before="320" w:after="140"/>
      </w:pPr>
      <w:r>
        <w:rPr>
          <w:rFonts w:ascii="Cambria" w:eastAsia="Cambria" w:hAnsi="Cambria" w:cs="Cambria"/>
          <w:b/>
          <w:bCs/>
          <w:color w:val="2B2D42"/>
          <w:sz w:val="27"/>
          <w:szCs w:val="27"/>
        </w:rPr>
        <w:t>Temuan Utama</w:t>
      </w:r>
    </w:p>
    <w:p w14:paraId="3B38B00C" w14:textId="77777777" w:rsidR="00295828" w:rsidRDefault="00000000">
      <w:pPr>
        <w:spacing w:before="220" w:after="90"/>
      </w:pPr>
      <w:r>
        <w:rPr>
          <w:rFonts w:ascii="Calibri" w:eastAsia="Calibri" w:hAnsi="Calibri" w:cs="Calibri"/>
          <w:b/>
          <w:bCs/>
          <w:color w:val="1F7A6C"/>
          <w:sz w:val="22"/>
          <w:szCs w:val="22"/>
        </w:rPr>
        <w:t>1. Retensi rendah secara struktural, namun dapat diprediksi</w:t>
      </w:r>
    </w:p>
    <w:p w14:paraId="08C69634" w14:textId="77777777" w:rsidR="00295828" w:rsidRDefault="00000000">
      <w:pPr>
        <w:pStyle w:val="ListParagraph"/>
        <w:numPr>
          <w:ilvl w:val="0"/>
          <w:numId w:val="2"/>
        </w:numPr>
        <w:spacing w:after="90" w:line="276" w:lineRule="auto"/>
        <w:jc w:val="both"/>
      </w:pPr>
      <w:r>
        <w:rPr>
          <w:rFonts w:ascii="Calibri" w:eastAsia="Calibri" w:hAnsi="Calibri" w:cs="Calibri"/>
          <w:color w:val="2B2D42"/>
          <w:sz w:val="21"/>
          <w:szCs w:val="21"/>
        </w:rPr>
        <w:t>Rasio 1 pelanggan repeat order berbanding ~6,7 pembeli tunggal — bukan mencerminkan masalah kualitas produk (penjualan nasional tetap tumbuh), melainkan minimnya program follow-up terstruktur pasca transaksi pertama.</w:t>
      </w:r>
    </w:p>
    <w:p w14:paraId="457CF433" w14:textId="77777777" w:rsidR="00295828" w:rsidRDefault="00000000">
      <w:pPr>
        <w:spacing w:before="220" w:after="90"/>
      </w:pPr>
      <w:r>
        <w:rPr>
          <w:rFonts w:ascii="Calibri" w:eastAsia="Calibri" w:hAnsi="Calibri" w:cs="Calibri"/>
          <w:b/>
          <w:bCs/>
          <w:color w:val="1F7A6C"/>
          <w:sz w:val="22"/>
          <w:szCs w:val="22"/>
        </w:rPr>
        <w:t>2. Delapan variabel kunci teruji signifikan secara statistik (p &lt; 0,05)</w:t>
      </w:r>
    </w:p>
    <w:p w14:paraId="65B121EA" w14:textId="77777777" w:rsidR="00295828" w:rsidRDefault="00000000">
      <w:pPr>
        <w:pStyle w:val="ListParagraph"/>
        <w:numPr>
          <w:ilvl w:val="0"/>
          <w:numId w:val="2"/>
        </w:numPr>
        <w:spacing w:after="90" w:line="276" w:lineRule="auto"/>
        <w:jc w:val="both"/>
      </w:pPr>
      <w:r>
        <w:rPr>
          <w:rFonts w:ascii="Calibri" w:eastAsia="Calibri" w:hAnsi="Calibri" w:cs="Calibri"/>
          <w:color w:val="2B2D42"/>
          <w:sz w:val="21"/>
          <w:szCs w:val="21"/>
        </w:rPr>
        <w:t>Pelanggan kredit memiliki probabilitas RO 37% lebih tinggi dibanding pelanggan cash (14,65% vs 10,70%); tenor pendek juga menunjukkan RO rate tertinggi (17,97% pada tenor 1, menurun ke 11,27% pada tenor 3+).</w:t>
      </w:r>
    </w:p>
    <w:p w14:paraId="576F0298" w14:textId="77777777" w:rsidR="00295828" w:rsidRDefault="00000000">
      <w:pPr>
        <w:pStyle w:val="ListParagraph"/>
        <w:numPr>
          <w:ilvl w:val="0"/>
          <w:numId w:val="2"/>
        </w:numPr>
        <w:spacing w:after="90" w:line="276" w:lineRule="auto"/>
        <w:jc w:val="both"/>
      </w:pPr>
      <w:r>
        <w:rPr>
          <w:rFonts w:ascii="Calibri" w:eastAsia="Calibri" w:hAnsi="Calibri" w:cs="Calibri"/>
          <w:color w:val="2B2D42"/>
          <w:sz w:val="21"/>
          <w:szCs w:val="21"/>
        </w:rPr>
        <w:t>Kapasitas finansial adalah sinyal kuat: median rasio DP terhadap OTR pada pelanggan RO lebih dari 4x lebih tinggi dibanding pembeli tunggal (0,31 vs 0,07).</w:t>
      </w:r>
    </w:p>
    <w:p w14:paraId="58C37355" w14:textId="77777777" w:rsidR="00295828" w:rsidRDefault="00000000">
      <w:pPr>
        <w:pStyle w:val="ListParagraph"/>
        <w:numPr>
          <w:ilvl w:val="0"/>
          <w:numId w:val="2"/>
        </w:numPr>
        <w:spacing w:after="90" w:line="276" w:lineRule="auto"/>
        <w:jc w:val="both"/>
      </w:pPr>
      <w:r>
        <w:rPr>
          <w:rFonts w:ascii="Calibri" w:eastAsia="Calibri" w:hAnsi="Calibri" w:cs="Calibri"/>
          <w:color w:val="2B2D42"/>
          <w:sz w:val="21"/>
          <w:szCs w:val="21"/>
        </w:rPr>
        <w:t>Kelompok usia 36–45 tahun paling loyal (16,0% RO rate), mencerminkan kemapanan finansial dan kebutuhan keluarga yang lebih kompleks.</w:t>
      </w:r>
    </w:p>
    <w:p w14:paraId="5D2C7638" w14:textId="77777777" w:rsidR="00295828" w:rsidRDefault="00000000">
      <w:pPr>
        <w:pStyle w:val="ListParagraph"/>
        <w:numPr>
          <w:ilvl w:val="0"/>
          <w:numId w:val="2"/>
        </w:numPr>
        <w:spacing w:after="90" w:line="276" w:lineRule="auto"/>
        <w:jc w:val="both"/>
      </w:pPr>
      <w:r>
        <w:rPr>
          <w:rFonts w:ascii="Calibri" w:eastAsia="Calibri" w:hAnsi="Calibri" w:cs="Calibri"/>
          <w:color w:val="2B2D42"/>
          <w:sz w:val="21"/>
          <w:szCs w:val="21"/>
        </w:rPr>
        <w:lastRenderedPageBreak/>
        <w:t>Segmen produk non-matic (Sport/Cub) mencatat RO rate 18,3%, jauh di atas segmen matic (12,3%); pembelian multi-unit di hari pertama juga sangat prediktif (RO rate melonjak dari 12,8% pada 1 unit menjadi &gt;45% pada 4+ unit).</w:t>
      </w:r>
    </w:p>
    <w:p w14:paraId="0DC0233B" w14:textId="77777777" w:rsidR="00295828" w:rsidRDefault="00000000">
      <w:pPr>
        <w:pStyle w:val="ListParagraph"/>
        <w:numPr>
          <w:ilvl w:val="0"/>
          <w:numId w:val="2"/>
        </w:numPr>
        <w:spacing w:after="90" w:line="276" w:lineRule="auto"/>
        <w:jc w:val="both"/>
      </w:pPr>
      <w:r>
        <w:rPr>
          <w:rFonts w:ascii="Calibri" w:eastAsia="Calibri" w:hAnsi="Calibri" w:cs="Calibri"/>
          <w:color w:val="2B2D42"/>
          <w:sz w:val="21"/>
          <w:szCs w:val="21"/>
        </w:rPr>
        <w:t>28% repeat order terjadi dalam 1 tahun pertama ("Golden Window"), namun median waktu tunggu keseluruhan mencapai 700 hari — mengindikasikan perlunya strategi follow-up dua fase.</w:t>
      </w:r>
    </w:p>
    <w:p w14:paraId="1F143C97" w14:textId="77777777" w:rsidR="00295828" w:rsidRDefault="00000000">
      <w:pPr>
        <w:pStyle w:val="ListParagraph"/>
        <w:numPr>
          <w:ilvl w:val="0"/>
          <w:numId w:val="2"/>
        </w:numPr>
        <w:spacing w:after="90" w:line="276" w:lineRule="auto"/>
        <w:jc w:val="both"/>
      </w:pPr>
      <w:r>
        <w:rPr>
          <w:rFonts w:ascii="Calibri" w:eastAsia="Calibri" w:hAnsi="Calibri" w:cs="Calibri"/>
          <w:color w:val="2B2D42"/>
          <w:sz w:val="21"/>
          <w:szCs w:val="21"/>
        </w:rPr>
        <w:t>Variasi signifikan ditemukan antar wilayah (RO rate 6,0%–15,0% pada 10 wilayah bervolume tertinggi) dan mitra pembiayaan (10,3%–17,8% pada 8 mitra bervolume tertinggi).</w:t>
      </w:r>
    </w:p>
    <w:p w14:paraId="6665427E" w14:textId="77777777" w:rsidR="00295828" w:rsidRDefault="00000000">
      <w:pPr>
        <w:pStyle w:val="ListParagraph"/>
        <w:numPr>
          <w:ilvl w:val="0"/>
          <w:numId w:val="2"/>
        </w:numPr>
        <w:spacing w:after="90" w:line="276" w:lineRule="auto"/>
        <w:jc w:val="both"/>
      </w:pPr>
      <w:r>
        <w:rPr>
          <w:rFonts w:ascii="Calibri" w:eastAsia="Calibri" w:hAnsi="Calibri" w:cs="Calibri"/>
          <w:color w:val="2B2D42"/>
          <w:sz w:val="21"/>
          <w:szCs w:val="21"/>
        </w:rPr>
        <w:t>[TEMUAN METODOLOGI] Recency_Days (durasi sejak transaksi pertama) awalnya tampak sebagai prediktor terkuat (~74% feature importance), namun pengujian statistik membuktikan itu adalah proksi censoring: korelasinya dengan tanggal akuisisi mencapai r=-1,0, dan model 1-fitur berbasis Recency_Days saja sudah mencapai AUC 0,70 — ciri khas leakage, bukan sinyal perilaku asli. Fitur ini dikeluarkan dari model klasifikasi, dan waktu-ke-repeat-order dianalisis ulang lewat Survival Analysis (Kaplan-Meier &amp; Cox Proportional Hazards): pelanggan kredit menunjukkan laju repeat order yang sedikit lebih cepat dibanding cash setelah ~500 hari, dan kelompok usia 36–45 tahun serta pembeli multi-unit memiliki hazard ratio tertinggi (masing-masing ~1,6x).</w:t>
      </w:r>
    </w:p>
    <w:p w14:paraId="6665427F" w14:textId="77777777" w:rsidR="00295828" w:rsidRDefault="00000000">
      <w:pPr>
        <w:pStyle w:val="Heading1"/>
        <w:pBdr>
          <w:bottom w:val="single" w:sz="6" w:space="4" w:color="1F7A6C"/>
        </w:pBdr>
        <w:spacing w:before="320" w:after="140"/>
      </w:pPr>
      <w:r>
        <w:rPr>
          <w:rFonts w:ascii="Cambria" w:eastAsia="Cambria" w:hAnsi="Cambria" w:cs="Cambria"/>
          <w:b/>
          <w:bCs/>
          <w:color w:val="2B2D42"/>
          <w:sz w:val="27"/>
          <w:szCs w:val="27"/>
        </w:rPr>
        <w:t>Performa Model</w:t>
      </w:r>
    </w:p>
    <w:p w14:paraId="55B4F394" w14:textId="77777777" w:rsidR="00295828" w:rsidRDefault="00000000">
      <w:pPr>
        <w:spacing w:after="130" w:line="288" w:lineRule="auto"/>
        <w:jc w:val="both"/>
      </w:pPr>
      <w:r>
        <w:rPr>
          <w:rFonts w:ascii="Calibri" w:eastAsia="Calibri" w:hAnsi="Calibri" w:cs="Calibri"/>
          <w:color w:val="2B2D42"/>
          <w:sz w:val="21"/>
          <w:szCs w:val="21"/>
        </w:rPr>
        <w:t>Empat algoritma boosting/ensemble (Gradient Boosting, HistGradientBoosting, XGBoost, Random Forest) dibandingkan menggunakan RandomizedSearchCV dengan optimasi ROC-AUC. XGBoost Classifier terpilih sebagai model final dengan performa sebagai berikut pada data uji (n=26.643, kondisi imbalanced alami (test set 10%, disentuh satu kali setelah 3-way split train/validation/test):</w:t>
      </w:r>
    </w:p>
    <w:p w14:paraId="19F14EC2" w14:textId="77777777" w:rsidR="00295828" w:rsidRDefault="00295828">
      <w:pPr>
        <w:spacing w:before="80"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8"/>
        <w:gridCol w:w="2508"/>
        <w:gridCol w:w="2509"/>
        <w:gridCol w:w="2509"/>
      </w:tblGrid>
      <w:tr w:rsidR="00295828" w14:paraId="45DF2EAE" w14:textId="77777777">
        <w:tc>
          <w:tcPr>
            <w:tcW w:w="2337" w:type="dxa"/>
            <w:tcBorders>
              <w:top w:val="single" w:sz="2" w:space="0" w:color="FFFFFF"/>
              <w:left w:val="single" w:sz="2" w:space="0" w:color="FFFFFF"/>
              <w:bottom w:val="single" w:sz="2" w:space="0" w:color="FFFFFF"/>
              <w:right w:val="single" w:sz="2" w:space="0" w:color="FFFFFF"/>
            </w:tcBorders>
            <w:shd w:val="clear" w:color="auto" w:fill="F6F8F8"/>
            <w:tcMar>
              <w:top w:w="160" w:type="dxa"/>
              <w:left w:w="120" w:type="dxa"/>
              <w:bottom w:w="160" w:type="dxa"/>
              <w:right w:w="120" w:type="dxa"/>
            </w:tcMar>
          </w:tcPr>
          <w:p w14:paraId="596721B8" w14:textId="77777777" w:rsidR="00295828" w:rsidRDefault="00000000">
            <w:pPr>
              <w:spacing w:after="40"/>
              <w:jc w:val="center"/>
            </w:pPr>
            <w:r>
              <w:rPr>
                <w:rFonts w:ascii="Cambria" w:eastAsia="Cambria" w:hAnsi="Cambria" w:cs="Cambria"/>
                <w:b/>
                <w:bCs/>
                <w:color w:val="1F7A6C"/>
                <w:sz w:val="32"/>
                <w:szCs w:val="32"/>
              </w:rPr>
              <w:t>0,71</w:t>
            </w:r>
          </w:p>
          <w:p w14:paraId="6485875A" w14:textId="77777777" w:rsidR="00295828" w:rsidRDefault="00000000">
            <w:pPr>
              <w:jc w:val="center"/>
            </w:pPr>
            <w:r>
              <w:rPr>
                <w:rFonts w:ascii="Calibri" w:eastAsia="Calibri" w:hAnsi="Calibri" w:cs="Calibri"/>
                <w:color w:val="6B7280"/>
                <w:sz w:val="16"/>
                <w:szCs w:val="16"/>
              </w:rPr>
              <w:t>ROC-AUC</w:t>
            </w:r>
          </w:p>
        </w:tc>
        <w:tc>
          <w:tcPr>
            <w:tcW w:w="2337" w:type="dxa"/>
            <w:tcBorders>
              <w:top w:val="single" w:sz="2" w:space="0" w:color="FFFFFF"/>
              <w:left w:val="single" w:sz="2" w:space="0" w:color="FFFFFF"/>
              <w:bottom w:val="single" w:sz="2" w:space="0" w:color="FFFFFF"/>
              <w:right w:val="single" w:sz="2" w:space="0" w:color="FFFFFF"/>
            </w:tcBorders>
            <w:shd w:val="clear" w:color="auto" w:fill="1F7A6C"/>
            <w:tcMar>
              <w:top w:w="160" w:type="dxa"/>
              <w:left w:w="120" w:type="dxa"/>
              <w:bottom w:w="160" w:type="dxa"/>
              <w:right w:w="120" w:type="dxa"/>
            </w:tcMar>
          </w:tcPr>
          <w:p w14:paraId="71A67D08" w14:textId="77777777" w:rsidR="00295828" w:rsidRDefault="00000000">
            <w:pPr>
              <w:spacing w:after="40"/>
              <w:jc w:val="center"/>
            </w:pPr>
            <w:r>
              <w:rPr>
                <w:rFonts w:ascii="Cambria" w:eastAsia="Cambria" w:hAnsi="Cambria" w:cs="Cambria"/>
                <w:b/>
                <w:bCs/>
                <w:color w:val="FFFFFF"/>
                <w:sz w:val="32"/>
                <w:szCs w:val="32"/>
              </w:rPr>
              <w:t>62%</w:t>
            </w:r>
          </w:p>
          <w:p w14:paraId="1B1786FB" w14:textId="77777777" w:rsidR="00295828" w:rsidRDefault="00000000">
            <w:pPr>
              <w:jc w:val="center"/>
            </w:pPr>
            <w:r>
              <w:rPr>
                <w:rFonts w:ascii="Calibri" w:eastAsia="Calibri" w:hAnsi="Calibri" w:cs="Calibri"/>
                <w:color w:val="FFFFFF"/>
                <w:sz w:val="16"/>
                <w:szCs w:val="16"/>
              </w:rPr>
              <w:t>Recall (kelas Repeat Order)</w:t>
            </w:r>
          </w:p>
        </w:tc>
        <w:tc>
          <w:tcPr>
            <w:tcW w:w="2337" w:type="dxa"/>
            <w:tcBorders>
              <w:top w:val="single" w:sz="2" w:space="0" w:color="FFFFFF"/>
              <w:left w:val="single" w:sz="2" w:space="0" w:color="FFFFFF"/>
              <w:bottom w:val="single" w:sz="2" w:space="0" w:color="FFFFFF"/>
              <w:right w:val="single" w:sz="2" w:space="0" w:color="FFFFFF"/>
            </w:tcBorders>
            <w:shd w:val="clear" w:color="auto" w:fill="F6F8F8"/>
            <w:tcMar>
              <w:top w:w="160" w:type="dxa"/>
              <w:left w:w="120" w:type="dxa"/>
              <w:bottom w:w="160" w:type="dxa"/>
              <w:right w:w="120" w:type="dxa"/>
            </w:tcMar>
          </w:tcPr>
          <w:p w14:paraId="70A21463" w14:textId="77777777" w:rsidR="00295828" w:rsidRDefault="00000000">
            <w:pPr>
              <w:spacing w:after="40"/>
              <w:jc w:val="center"/>
            </w:pPr>
            <w:r>
              <w:rPr>
                <w:rFonts w:ascii="Cambria" w:eastAsia="Cambria" w:hAnsi="Cambria" w:cs="Cambria"/>
                <w:b/>
                <w:bCs/>
                <w:color w:val="1F7A6C"/>
                <w:sz w:val="32"/>
                <w:szCs w:val="32"/>
              </w:rPr>
              <w:t>22%</w:t>
            </w:r>
          </w:p>
          <w:p w14:paraId="14F50591" w14:textId="77777777" w:rsidR="00295828" w:rsidRDefault="00000000">
            <w:pPr>
              <w:jc w:val="center"/>
            </w:pPr>
            <w:r>
              <w:rPr>
                <w:rFonts w:ascii="Calibri" w:eastAsia="Calibri" w:hAnsi="Calibri" w:cs="Calibri"/>
                <w:color w:val="6B7280"/>
                <w:sz w:val="16"/>
                <w:szCs w:val="16"/>
              </w:rPr>
              <w:t>Precision (kelas Repeat Order)</w:t>
            </w:r>
          </w:p>
        </w:tc>
        <w:tc>
          <w:tcPr>
            <w:tcW w:w="2337" w:type="dxa"/>
            <w:tcBorders>
              <w:top w:val="single" w:sz="2" w:space="0" w:color="FFFFFF"/>
              <w:left w:val="single" w:sz="2" w:space="0" w:color="FFFFFF"/>
              <w:bottom w:val="single" w:sz="2" w:space="0" w:color="FFFFFF"/>
              <w:right w:val="single" w:sz="2" w:space="0" w:color="FFFFFF"/>
            </w:tcBorders>
            <w:shd w:val="clear" w:color="auto" w:fill="F6F8F8"/>
            <w:tcMar>
              <w:top w:w="160" w:type="dxa"/>
              <w:left w:w="120" w:type="dxa"/>
              <w:bottom w:w="160" w:type="dxa"/>
              <w:right w:w="120" w:type="dxa"/>
            </w:tcMar>
          </w:tcPr>
          <w:p w14:paraId="16E338DC" w14:textId="77777777" w:rsidR="00295828" w:rsidRDefault="00000000">
            <w:pPr>
              <w:spacing w:after="40"/>
              <w:jc w:val="center"/>
            </w:pPr>
            <w:r>
              <w:rPr>
                <w:rFonts w:ascii="Cambria" w:eastAsia="Cambria" w:hAnsi="Cambria" w:cs="Cambria"/>
                <w:b/>
                <w:bCs/>
                <w:color w:val="1F7A6C"/>
                <w:sz w:val="32"/>
                <w:szCs w:val="32"/>
              </w:rPr>
              <w:t>67%</w:t>
            </w:r>
          </w:p>
          <w:p w14:paraId="260917B5" w14:textId="77777777" w:rsidR="00295828" w:rsidRDefault="00000000">
            <w:pPr>
              <w:jc w:val="center"/>
            </w:pPr>
            <w:r>
              <w:rPr>
                <w:rFonts w:ascii="Calibri" w:eastAsia="Calibri" w:hAnsi="Calibri" w:cs="Calibri"/>
                <w:color w:val="6B7280"/>
                <w:sz w:val="16"/>
                <w:szCs w:val="16"/>
              </w:rPr>
              <w:t>Akurasi Keseluruhan</w:t>
            </w:r>
          </w:p>
        </w:tc>
      </w:tr>
    </w:tbl>
    <w:p w14:paraId="1E0E9E55" w14:textId="77777777" w:rsidR="00295828" w:rsidRDefault="00295828">
      <w:pPr>
        <w:spacing w:before="200" w:after="120"/>
      </w:pPr>
    </w:p>
    <w:p w14:paraId="31DCE38B" w14:textId="77777777" w:rsidR="00295828" w:rsidRDefault="00000000">
      <w:pPr>
        <w:spacing w:after="130" w:line="288" w:lineRule="auto"/>
        <w:jc w:val="both"/>
        <w:rPr>
          <w:rFonts w:ascii="Calibri" w:eastAsia="Calibri" w:hAnsi="Calibri" w:cs="Calibri"/>
          <w:color w:val="2B2D42"/>
          <w:sz w:val="21"/>
          <w:szCs w:val="21"/>
        </w:rPr>
      </w:pPr>
      <w:r>
        <w:rPr>
          <w:rFonts w:ascii="Calibri" w:eastAsia="Calibri" w:hAnsi="Calibri" w:cs="Calibri"/>
          <w:color w:val="2B2D42"/>
          <w:sz w:val="21"/>
          <w:szCs w:val="21"/>
        </w:rPr>
        <w:t>Model sengaja dioptimalkan untuk Recall tinggi — mengamankan 62% dari seluruh potensi transaksi Repeat Order agar mayoritas pelanggan loyal tetap termonitor tim marketing sebelum berpindah ke kompetitor. Konsekuensinya, Precision turun ke 22%, sebuah trade-off yang wajar untuk kampanye retensi berbiaya rendah (SMS/WhatsApp/telemarketing) di mana risiko salah sasaran jauh lebih murah dibanding risiko kehilangan pelanggan loyal yang tak ter-follow-up. Analisis Permutation Importance dan SHAP mengonfirmasi Cicilan_to_OTR_Ratio, Estimasi_Kredit, dan Beban_Cicilan_Bulanan sebagai prediktor paling berpengaruh — Recency_Days awalnya tampak dominan namun terbukti sebagai proksi lama observasi (censoring), bukan sinyal perilaku, sehingga dikeluarkan dari model dan dianalisis terpisah lewat Survival Analysis (lihat Temuan Utama).</w:t>
      </w:r>
    </w:p>
    <w:p w14:paraId="2429B41D" w14:textId="77777777" w:rsidR="00143457" w:rsidRDefault="00143457">
      <w:pPr>
        <w:spacing w:after="130" w:line="288" w:lineRule="auto"/>
        <w:jc w:val="both"/>
        <w:rPr>
          <w:rFonts w:ascii="Calibri" w:eastAsia="Calibri" w:hAnsi="Calibri" w:cs="Calibri"/>
          <w:color w:val="2B2D42"/>
          <w:sz w:val="21"/>
          <w:szCs w:val="21"/>
        </w:rPr>
      </w:pPr>
    </w:p>
    <w:p w14:paraId="75BF7132" w14:textId="77777777" w:rsidR="00143457" w:rsidRDefault="00143457">
      <w:pPr>
        <w:spacing w:after="130" w:line="288" w:lineRule="auto"/>
        <w:jc w:val="both"/>
        <w:rPr>
          <w:rFonts w:ascii="Calibri" w:eastAsia="Calibri" w:hAnsi="Calibri" w:cs="Calibri"/>
          <w:color w:val="2B2D42"/>
          <w:sz w:val="21"/>
          <w:szCs w:val="21"/>
        </w:rPr>
      </w:pPr>
    </w:p>
    <w:p w14:paraId="11D2CB5E" w14:textId="77777777" w:rsidR="00143457" w:rsidRDefault="00143457">
      <w:pPr>
        <w:spacing w:after="130" w:line="288" w:lineRule="auto"/>
        <w:jc w:val="both"/>
        <w:rPr>
          <w:rFonts w:ascii="Calibri" w:eastAsia="Calibri" w:hAnsi="Calibri" w:cs="Calibri"/>
          <w:color w:val="2B2D42"/>
          <w:sz w:val="21"/>
          <w:szCs w:val="21"/>
        </w:rPr>
      </w:pPr>
    </w:p>
    <w:p w14:paraId="03BF7527" w14:textId="77777777" w:rsidR="00143457" w:rsidRDefault="00143457">
      <w:pPr>
        <w:spacing w:after="130" w:line="288" w:lineRule="auto"/>
        <w:jc w:val="both"/>
        <w:rPr>
          <w:rFonts w:ascii="Calibri" w:eastAsia="Calibri" w:hAnsi="Calibri" w:cs="Calibri"/>
          <w:color w:val="2B2D42"/>
          <w:sz w:val="21"/>
          <w:szCs w:val="21"/>
        </w:rPr>
      </w:pPr>
    </w:p>
    <w:p w14:paraId="448326C8" w14:textId="77777777" w:rsidR="00143457" w:rsidRDefault="00143457">
      <w:pPr>
        <w:spacing w:after="130" w:line="288" w:lineRule="auto"/>
        <w:jc w:val="both"/>
      </w:pPr>
    </w:p>
    <w:p w14:paraId="02121BF9" w14:textId="77777777" w:rsidR="00295828" w:rsidRDefault="00000000">
      <w:pPr>
        <w:pStyle w:val="Heading1"/>
        <w:pBdr>
          <w:bottom w:val="single" w:sz="6" w:space="4" w:color="1F7A6C"/>
        </w:pBdr>
        <w:spacing w:before="320" w:after="140"/>
      </w:pPr>
      <w:r>
        <w:rPr>
          <w:rFonts w:ascii="Cambria" w:eastAsia="Cambria" w:hAnsi="Cambria" w:cs="Cambria"/>
          <w:b/>
          <w:bCs/>
          <w:color w:val="2B2D42"/>
          <w:sz w:val="27"/>
          <w:szCs w:val="27"/>
        </w:rPr>
        <w:t>Rekomendasi Strategis</w:t>
      </w:r>
    </w:p>
    <w:p w14:paraId="0BC7D615" w14:textId="77777777" w:rsidR="00295828" w:rsidRDefault="00000000">
      <w:pPr>
        <w:pStyle w:val="ListParagraph"/>
        <w:numPr>
          <w:ilvl w:val="0"/>
          <w:numId w:val="2"/>
        </w:numPr>
        <w:spacing w:after="90" w:line="276" w:lineRule="auto"/>
        <w:jc w:val="both"/>
      </w:pPr>
      <w:r>
        <w:rPr>
          <w:rFonts w:ascii="Calibri" w:eastAsia="Calibri" w:hAnsi="Calibri" w:cs="Calibri"/>
          <w:b/>
          <w:bCs/>
          <w:color w:val="2B2D42"/>
          <w:sz w:val="21"/>
          <w:szCs w:val="21"/>
        </w:rPr>
        <w:t>Program Follow-Up Bertahap —</w:t>
      </w:r>
      <w:r>
        <w:rPr>
          <w:rFonts w:ascii="Calibri" w:eastAsia="Calibri" w:hAnsi="Calibri" w:cs="Calibri"/>
          <w:color w:val="2B2D42"/>
          <w:sz w:val="21"/>
          <w:szCs w:val="21"/>
        </w:rPr>
        <w:t xml:space="preserve"> Rancang program follow-up dua fase: kampanye konversi intensif pada 365 hari pertama, dilanjutkan pemeliharaan hubungan berkala hingga tahun kedua (median 700 hari).</w:t>
      </w:r>
    </w:p>
    <w:p w14:paraId="0C6CA712" w14:textId="77777777" w:rsidR="00295828" w:rsidRDefault="00000000">
      <w:pPr>
        <w:pStyle w:val="ListParagraph"/>
        <w:numPr>
          <w:ilvl w:val="0"/>
          <w:numId w:val="2"/>
        </w:numPr>
        <w:spacing w:after="90" w:line="276" w:lineRule="auto"/>
        <w:jc w:val="both"/>
      </w:pPr>
      <w:r>
        <w:rPr>
          <w:rFonts w:ascii="Calibri" w:eastAsia="Calibri" w:hAnsi="Calibri" w:cs="Calibri"/>
          <w:b/>
          <w:bCs/>
          <w:color w:val="2B2D42"/>
          <w:sz w:val="21"/>
          <w:szCs w:val="21"/>
        </w:rPr>
        <w:t>Targeting Berbasis Skor Model —</w:t>
      </w:r>
      <w:r>
        <w:rPr>
          <w:rFonts w:ascii="Calibri" w:eastAsia="Calibri" w:hAnsi="Calibri" w:cs="Calibri"/>
          <w:color w:val="2B2D42"/>
          <w:sz w:val="21"/>
          <w:szCs w:val="21"/>
        </w:rPr>
        <w:t xml:space="preserve"> Prioritaskan daftar follow-up tim marketing menggunakan skor probabilitas RO dari model (decile risiko tertinggi menangkap ~39% dari seluruh RO dengan lift 2,08x — lihat Lift/Gain Chart pada notebook), dengan fokus awal pada nasabah kredit, tenor pendek, dan DP tinggi, terutama yang masih berada dalam Golden Window 365 hari pertama.</w:t>
      </w:r>
    </w:p>
    <w:p w14:paraId="3F5213EE" w14:textId="77777777" w:rsidR="00295828" w:rsidRDefault="00000000">
      <w:pPr>
        <w:pStyle w:val="ListParagraph"/>
        <w:numPr>
          <w:ilvl w:val="0"/>
          <w:numId w:val="2"/>
        </w:numPr>
        <w:spacing w:after="90" w:line="276" w:lineRule="auto"/>
        <w:jc w:val="both"/>
      </w:pPr>
      <w:r>
        <w:rPr>
          <w:rFonts w:ascii="Calibri" w:eastAsia="Calibri" w:hAnsi="Calibri" w:cs="Calibri"/>
          <w:b/>
          <w:bCs/>
          <w:color w:val="2B2D42"/>
          <w:sz w:val="21"/>
          <w:szCs w:val="21"/>
        </w:rPr>
        <w:t>Penawaran Berbasis Segmen —</w:t>
      </w:r>
      <w:r>
        <w:rPr>
          <w:rFonts w:ascii="Calibri" w:eastAsia="Calibri" w:hAnsi="Calibri" w:cs="Calibri"/>
          <w:color w:val="2B2D42"/>
          <w:sz w:val="21"/>
          <w:szCs w:val="21"/>
        </w:rPr>
        <w:t xml:space="preserve"> Rancang penawaran upgrade/unit tambahan khusus untuk segmen Sport/Cub (non-matic) dan nasabah usia 36–45 tahun yang terbukti paling loyal.</w:t>
      </w:r>
    </w:p>
    <w:p w14:paraId="4AD35719" w14:textId="77777777" w:rsidR="00295828" w:rsidRDefault="00000000">
      <w:pPr>
        <w:pStyle w:val="ListParagraph"/>
        <w:numPr>
          <w:ilvl w:val="0"/>
          <w:numId w:val="2"/>
        </w:numPr>
        <w:spacing w:after="90" w:line="276" w:lineRule="auto"/>
        <w:jc w:val="both"/>
      </w:pPr>
      <w:r>
        <w:rPr>
          <w:rFonts w:ascii="Calibri" w:eastAsia="Calibri" w:hAnsi="Calibri" w:cs="Calibri"/>
          <w:b/>
          <w:bCs/>
          <w:color w:val="2B2D42"/>
          <w:sz w:val="21"/>
          <w:szCs w:val="21"/>
        </w:rPr>
        <w:t>Optimasi Wilayah &amp; Mitra Pembiayaan —</w:t>
      </w:r>
      <w:r>
        <w:rPr>
          <w:rFonts w:ascii="Calibri" w:eastAsia="Calibri" w:hAnsi="Calibri" w:cs="Calibri"/>
          <w:color w:val="2B2D42"/>
          <w:sz w:val="21"/>
          <w:szCs w:val="21"/>
        </w:rPr>
        <w:t xml:space="preserve"> Investigasi akar penyebab retensi rendah di wilayah dengan performa terendah, dan evaluasi ulang skema cicilan mitra pembiayaan berperforma rendah.</w:t>
      </w:r>
    </w:p>
    <w:p w14:paraId="28C13186" w14:textId="77777777" w:rsidR="00295828" w:rsidRDefault="00000000">
      <w:pPr>
        <w:pStyle w:val="Heading1"/>
        <w:pBdr>
          <w:bottom w:val="single" w:sz="6" w:space="4" w:color="1F7A6C"/>
        </w:pBdr>
        <w:spacing w:before="320" w:after="140"/>
      </w:pPr>
      <w:r>
        <w:rPr>
          <w:rFonts w:ascii="Cambria" w:eastAsia="Cambria" w:hAnsi="Cambria" w:cs="Cambria"/>
          <w:b/>
          <w:bCs/>
          <w:color w:val="2B2D42"/>
          <w:sz w:val="27"/>
          <w:szCs w:val="27"/>
        </w:rPr>
        <w:t>Langkah Selanjutnya</w:t>
      </w:r>
    </w:p>
    <w:p w14:paraId="1695BA8C" w14:textId="77777777" w:rsidR="00295828" w:rsidRDefault="00000000">
      <w:pPr>
        <w:spacing w:after="130" w:line="288" w:lineRule="auto"/>
        <w:jc w:val="both"/>
      </w:pPr>
      <w:r>
        <w:rPr>
          <w:rFonts w:ascii="Calibri" w:eastAsia="Calibri" w:hAnsi="Calibri" w:cs="Calibri"/>
          <w:color w:val="2B2D42"/>
          <w:sz w:val="21"/>
          <w:szCs w:val="21"/>
        </w:rPr>
        <w:t>Implementasi diusulkan secara bertahap: (1) deployment model ke sistem CRM untuk scoring nasabah baru H+1 (0–1 bulan); (2) pilot program retensi pada 2–3 wilayah percontohan dengan pengukuran uplift terhadap kelompok kontrol (1–3 bulan); (3) scale-up nasional dan personalisasi penawaran per segmen (3–6 bulan); serta (4) evaluasi dan optimasi model &amp; ROI kampanye secara berkelanjutan setiap kuartal.</w:t>
      </w:r>
    </w:p>
    <w:p w14:paraId="092250AC" w14:textId="77777777" w:rsidR="00295828" w:rsidRDefault="00000000">
      <w:pPr>
        <w:pBdr>
          <w:top w:val="single" w:sz="4" w:space="8" w:color="E5E7EB"/>
        </w:pBdr>
        <w:spacing w:before="260"/>
      </w:pPr>
      <w:r>
        <w:rPr>
          <w:rFonts w:ascii="Calibri" w:eastAsia="Calibri" w:hAnsi="Calibri" w:cs="Calibri"/>
          <w:i/>
          <w:iCs/>
          <w:color w:val="6B7280"/>
          <w:sz w:val="15"/>
          <w:szCs w:val="15"/>
        </w:rPr>
        <w:t>Sumber: Data internal SPARC dataset (319.978 baris transaksi mentah, 2019–berjalan); AISI — Laporan Kinerja Penjualan Sepeda Motor 2025 (Januari 2026).</w:t>
      </w:r>
    </w:p>
    <w:sectPr w:rsidR="00295828">
      <w:headerReference w:type="default" r:id="rId7"/>
      <w:footerReference w:type="default" r:id="rId8"/>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FA124" w14:textId="77777777" w:rsidR="000E2397" w:rsidRDefault="000E2397">
      <w:r>
        <w:separator/>
      </w:r>
    </w:p>
  </w:endnote>
  <w:endnote w:type="continuationSeparator" w:id="0">
    <w:p w14:paraId="2A2C160C" w14:textId="77777777" w:rsidR="000E2397" w:rsidRDefault="000E23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A7969" w14:textId="77777777" w:rsidR="00295828" w:rsidRDefault="00000000">
    <w:pPr>
      <w:tabs>
        <w:tab w:val="right" w:pos="9026"/>
      </w:tabs>
    </w:pPr>
    <w:r>
      <w:rPr>
        <w:rFonts w:ascii="Calibri" w:eastAsia="Calibri" w:hAnsi="Calibri" w:cs="Calibri"/>
        <w:i/>
        <w:iCs/>
        <w:color w:val="6B7280"/>
        <w:sz w:val="15"/>
        <w:szCs w:val="15"/>
      </w:rPr>
      <w:t>Final Report | Juli 2026</w:t>
    </w:r>
    <w:r>
      <w:rPr>
        <w:rFonts w:ascii="Calibri" w:eastAsia="Calibri" w:hAnsi="Calibri" w:cs="Calibri"/>
        <w:color w:val="6B7280"/>
        <w:sz w:val="15"/>
        <w:szCs w:val="15"/>
      </w:rPr>
      <w:tab/>
      <w:t xml:space="preserve">Halaman </w:t>
    </w:r>
    <w:r>
      <w:rPr>
        <w:rFonts w:ascii="Calibri" w:eastAsia="Calibri" w:hAnsi="Calibri" w:cs="Calibri"/>
        <w:color w:val="6B7280"/>
        <w:sz w:val="15"/>
        <w:szCs w:val="15"/>
      </w:rPr>
      <w:fldChar w:fldCharType="begin"/>
    </w:r>
    <w:r>
      <w:rPr>
        <w:rFonts w:ascii="Calibri" w:eastAsia="Calibri" w:hAnsi="Calibri" w:cs="Calibri"/>
        <w:color w:val="6B7280"/>
        <w:sz w:val="15"/>
        <w:szCs w:val="15"/>
      </w:rPr>
      <w:instrText>PAGE</w:instrText>
    </w:r>
    <w:r>
      <w:rPr>
        <w:rFonts w:ascii="Calibri" w:eastAsia="Calibri" w:hAnsi="Calibri" w:cs="Calibri"/>
        <w:color w:val="6B7280"/>
        <w:sz w:val="15"/>
        <w:szCs w:val="15"/>
      </w:rPr>
      <w:fldChar w:fldCharType="separate"/>
    </w:r>
    <w:r w:rsidR="00123395">
      <w:rPr>
        <w:rFonts w:ascii="Calibri" w:eastAsia="Calibri" w:hAnsi="Calibri" w:cs="Calibri"/>
        <w:noProof/>
        <w:color w:val="6B7280"/>
        <w:sz w:val="15"/>
        <w:szCs w:val="15"/>
      </w:rPr>
      <w:t>1</w:t>
    </w:r>
    <w:r>
      <w:rPr>
        <w:rFonts w:ascii="Calibri" w:eastAsia="Calibri" w:hAnsi="Calibri" w:cs="Calibri"/>
        <w:color w:val="6B72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82D37" w14:textId="77777777" w:rsidR="000E2397" w:rsidRDefault="000E2397">
      <w:r>
        <w:separator/>
      </w:r>
    </w:p>
  </w:footnote>
  <w:footnote w:type="continuationSeparator" w:id="0">
    <w:p w14:paraId="4131B794" w14:textId="77777777" w:rsidR="000E2397" w:rsidRDefault="000E23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B1B73" w14:textId="682F3749" w:rsidR="00295828" w:rsidRDefault="00143457">
    <w:pPr>
      <w:pBdr>
        <w:bottom w:val="single" w:sz="4" w:space="4" w:color="E5E7EB"/>
      </w:pBdr>
      <w:tabs>
        <w:tab w:val="right" w:pos="9026"/>
      </w:tabs>
    </w:pPr>
    <w:r>
      <w:rPr>
        <w:rFonts w:ascii="Calibri" w:eastAsia="Calibri" w:hAnsi="Calibri" w:cs="Calibri"/>
        <w:b/>
        <w:bCs/>
        <w:color w:val="1F7A6C"/>
        <w:sz w:val="15"/>
        <w:szCs w:val="15"/>
      </w:rPr>
      <w:t>UC</w:t>
    </w:r>
    <w:r w:rsidR="00000000">
      <w:rPr>
        <w:rFonts w:ascii="Calibri" w:eastAsia="Calibri" w:hAnsi="Calibri" w:cs="Calibri"/>
        <w:b/>
        <w:bCs/>
        <w:color w:val="1F7A6C"/>
        <w:sz w:val="15"/>
        <w:szCs w:val="15"/>
      </w:rPr>
      <w:t xml:space="preserve"> SPARC 2026</w:t>
    </w:r>
    <w:r>
      <w:rPr>
        <w:rFonts w:ascii="Calibri" w:eastAsia="Calibri" w:hAnsi="Calibri" w:cs="Calibri"/>
        <w:b/>
        <w:bCs/>
        <w:color w:val="1F7A6C"/>
        <w:sz w:val="15"/>
        <w:szCs w:val="15"/>
      </w:rPr>
      <w:t xml:space="preserve"> – 2W + 1H</w:t>
    </w:r>
    <w:r w:rsidR="00000000">
      <w:rPr>
        <w:rFonts w:ascii="Calibri" w:eastAsia="Calibri" w:hAnsi="Calibri" w:cs="Calibri"/>
        <w:color w:val="6B7280"/>
        <w:sz w:val="15"/>
        <w:szCs w:val="15"/>
      </w:rPr>
      <w:tab/>
    </w:r>
    <w:r>
      <w:rPr>
        <w:rFonts w:ascii="Calibri" w:eastAsia="Calibri" w:hAnsi="Calibri" w:cs="Calibri"/>
        <w:color w:val="6B7280"/>
        <w:sz w:val="15"/>
        <w:szCs w:val="15"/>
      </w:rPr>
      <w:t>Executive Summary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3412B"/>
    <w:multiLevelType w:val="hybridMultilevel"/>
    <w:tmpl w:val="B63473AA"/>
    <w:lvl w:ilvl="0" w:tplc="DD860440">
      <w:start w:val="1"/>
      <w:numFmt w:val="bullet"/>
      <w:lvlText w:val="•"/>
      <w:lvlJc w:val="left"/>
      <w:pPr>
        <w:ind w:left="403" w:hanging="259"/>
      </w:pPr>
    </w:lvl>
    <w:lvl w:ilvl="1" w:tplc="86A60796">
      <w:numFmt w:val="decimal"/>
      <w:lvlText w:val=""/>
      <w:lvlJc w:val="left"/>
    </w:lvl>
    <w:lvl w:ilvl="2" w:tplc="508C7C3A">
      <w:numFmt w:val="decimal"/>
      <w:lvlText w:val=""/>
      <w:lvlJc w:val="left"/>
    </w:lvl>
    <w:lvl w:ilvl="3" w:tplc="55C2890E">
      <w:numFmt w:val="decimal"/>
      <w:lvlText w:val=""/>
      <w:lvlJc w:val="left"/>
    </w:lvl>
    <w:lvl w:ilvl="4" w:tplc="614CFC40">
      <w:numFmt w:val="decimal"/>
      <w:lvlText w:val=""/>
      <w:lvlJc w:val="left"/>
    </w:lvl>
    <w:lvl w:ilvl="5" w:tplc="E4EE3FD4">
      <w:numFmt w:val="decimal"/>
      <w:lvlText w:val=""/>
      <w:lvlJc w:val="left"/>
    </w:lvl>
    <w:lvl w:ilvl="6" w:tplc="3BEAD59A">
      <w:numFmt w:val="decimal"/>
      <w:lvlText w:val=""/>
      <w:lvlJc w:val="left"/>
    </w:lvl>
    <w:lvl w:ilvl="7" w:tplc="2624B47C">
      <w:numFmt w:val="decimal"/>
      <w:lvlText w:val=""/>
      <w:lvlJc w:val="left"/>
    </w:lvl>
    <w:lvl w:ilvl="8" w:tplc="73305216">
      <w:numFmt w:val="decimal"/>
      <w:lvlText w:val=""/>
      <w:lvlJc w:val="left"/>
    </w:lvl>
  </w:abstractNum>
  <w:abstractNum w:abstractNumId="1" w15:restartNumberingAfterBreak="0">
    <w:nsid w:val="73C809B4"/>
    <w:multiLevelType w:val="hybridMultilevel"/>
    <w:tmpl w:val="8C9CE442"/>
    <w:lvl w:ilvl="0" w:tplc="55167EEA">
      <w:start w:val="1"/>
      <w:numFmt w:val="bullet"/>
      <w:lvlText w:val="●"/>
      <w:lvlJc w:val="left"/>
      <w:pPr>
        <w:ind w:left="720" w:hanging="360"/>
      </w:pPr>
    </w:lvl>
    <w:lvl w:ilvl="1" w:tplc="45CE5184">
      <w:start w:val="1"/>
      <w:numFmt w:val="bullet"/>
      <w:lvlText w:val="○"/>
      <w:lvlJc w:val="left"/>
      <w:pPr>
        <w:ind w:left="1440" w:hanging="360"/>
      </w:pPr>
    </w:lvl>
    <w:lvl w:ilvl="2" w:tplc="C7D6ECE2">
      <w:start w:val="1"/>
      <w:numFmt w:val="bullet"/>
      <w:lvlText w:val="■"/>
      <w:lvlJc w:val="left"/>
      <w:pPr>
        <w:ind w:left="2160" w:hanging="360"/>
      </w:pPr>
    </w:lvl>
    <w:lvl w:ilvl="3" w:tplc="467EC786">
      <w:start w:val="1"/>
      <w:numFmt w:val="bullet"/>
      <w:lvlText w:val="●"/>
      <w:lvlJc w:val="left"/>
      <w:pPr>
        <w:ind w:left="2880" w:hanging="360"/>
      </w:pPr>
    </w:lvl>
    <w:lvl w:ilvl="4" w:tplc="064A7E4E">
      <w:start w:val="1"/>
      <w:numFmt w:val="bullet"/>
      <w:lvlText w:val="○"/>
      <w:lvlJc w:val="left"/>
      <w:pPr>
        <w:ind w:left="3600" w:hanging="360"/>
      </w:pPr>
    </w:lvl>
    <w:lvl w:ilvl="5" w:tplc="DAD0F534">
      <w:start w:val="1"/>
      <w:numFmt w:val="bullet"/>
      <w:lvlText w:val="■"/>
      <w:lvlJc w:val="left"/>
      <w:pPr>
        <w:ind w:left="4320" w:hanging="360"/>
      </w:pPr>
    </w:lvl>
    <w:lvl w:ilvl="6" w:tplc="91DAD73A">
      <w:start w:val="1"/>
      <w:numFmt w:val="bullet"/>
      <w:lvlText w:val="●"/>
      <w:lvlJc w:val="left"/>
      <w:pPr>
        <w:ind w:left="5040" w:hanging="360"/>
      </w:pPr>
    </w:lvl>
    <w:lvl w:ilvl="7" w:tplc="4E7C5924">
      <w:start w:val="1"/>
      <w:numFmt w:val="bullet"/>
      <w:lvlText w:val="●"/>
      <w:lvlJc w:val="left"/>
      <w:pPr>
        <w:ind w:left="5760" w:hanging="360"/>
      </w:pPr>
    </w:lvl>
    <w:lvl w:ilvl="8" w:tplc="13363DA4">
      <w:start w:val="1"/>
      <w:numFmt w:val="bullet"/>
      <w:lvlText w:val="●"/>
      <w:lvlJc w:val="left"/>
      <w:pPr>
        <w:ind w:left="6480" w:hanging="360"/>
      </w:pPr>
    </w:lvl>
  </w:abstractNum>
  <w:num w:numId="1" w16cid:durableId="977681719">
    <w:abstractNumId w:val="1"/>
    <w:lvlOverride w:ilvl="0">
      <w:startOverride w:val="1"/>
    </w:lvlOverride>
  </w:num>
  <w:num w:numId="2" w16cid:durableId="4868239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828"/>
    <w:rsid w:val="000E2397"/>
    <w:rsid w:val="00123395"/>
    <w:rsid w:val="00143457"/>
    <w:rsid w:val="00295828"/>
    <w:rsid w:val="00436EC5"/>
    <w:rsid w:val="005C5CC1"/>
    <w:rsid w:val="00740078"/>
    <w:rsid w:val="00BB0D1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CD504"/>
  <w15:docId w15:val="{66F2804D-3D87-4BDA-B7B9-A15BBF80E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43457"/>
    <w:pPr>
      <w:tabs>
        <w:tab w:val="center" w:pos="4513"/>
        <w:tab w:val="right" w:pos="9026"/>
      </w:tabs>
    </w:pPr>
  </w:style>
  <w:style w:type="character" w:customStyle="1" w:styleId="HeaderChar">
    <w:name w:val="Header Char"/>
    <w:basedOn w:val="DefaultParagraphFont"/>
    <w:link w:val="Header"/>
    <w:uiPriority w:val="99"/>
    <w:rsid w:val="00143457"/>
  </w:style>
  <w:style w:type="paragraph" w:styleId="Footer">
    <w:name w:val="footer"/>
    <w:basedOn w:val="Normal"/>
    <w:link w:val="FooterChar"/>
    <w:uiPriority w:val="99"/>
    <w:unhideWhenUsed/>
    <w:rsid w:val="00143457"/>
    <w:pPr>
      <w:tabs>
        <w:tab w:val="center" w:pos="4513"/>
        <w:tab w:val="right" w:pos="9026"/>
      </w:tabs>
    </w:pPr>
  </w:style>
  <w:style w:type="character" w:customStyle="1" w:styleId="FooterChar">
    <w:name w:val="Footer Char"/>
    <w:basedOn w:val="DefaultParagraphFont"/>
    <w:link w:val="Footer"/>
    <w:uiPriority w:val="99"/>
    <w:rsid w:val="001434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1078</Words>
  <Characters>6148</Characters>
  <Application>Microsoft Office Word</Application>
  <DocSecurity>0</DocSecurity>
  <Lines>51</Lines>
  <Paragraphs>14</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Latar Belakang</vt:lpstr>
      <vt:lpstr>Objektif &amp; Metodologi</vt:lpstr>
      <vt:lpstr>Temuan Utama</vt:lpstr>
      <vt:lpstr>Performa Model</vt:lpstr>
      <vt:lpstr>Rekomendasi Strategis</vt:lpstr>
      <vt:lpstr>Langkah Selanjutnya</vt:lpstr>
    </vt:vector>
  </TitlesOfParts>
  <Company/>
  <LinksUpToDate>false</LinksUpToDate>
  <CharactersWithSpaces>7212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hillal hariyono</cp:lastModifiedBy>
  <cp:revision>4</cp:revision>
  <dcterms:created xsi:type="dcterms:W3CDTF">2026-07-14T04:52:00Z</dcterms:created>
  <dcterms:modified xsi:type="dcterms:W3CDTF">2026-09-14T12:59:00Z</dcterms:modified>
</cp:coreProperties>
</file>