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RNA-seq Analysis</w:t>
      </w:r>
    </w:p>
    <w:p>
      <w:pPr>
        <w:pStyle w:val="Heading2"/>
        <w:rPr>
          <w:rFonts w:ascii="Arial" w:hAnsi="Arial"/>
          <w:sz w:val="22"/>
          <w:szCs w:val="22"/>
        </w:rPr>
      </w:pPr>
      <w:bookmarkStart w:id="0" w:name="sec:org395c2af"/>
      <w:bookmarkEnd w:id="0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Sequencing</w:t>
      </w:r>
    </w:p>
    <w:p>
      <w:pPr>
        <w:pStyle w:val="Fir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RNA was isolated using the mirVana RNA isolation kit and following the Total RNA isolation protocol (Thermo-Fisher Scientific, Waltham MA). RNA library preparation and RNA-sequencing (single-end, 50 bp read length) were performed by the University of Michigan DNA Sequencing Core using the Illumina Hi-Seq 2500 platform. All sequences were deposited in the EMBL-EBI ArrayExpress database using Annotare 2.0 and are cataloged under the accession number E-MTAB-XXXX</w:t>
      </w:r>
      <w:r>
        <w:rPr>
          <w:rFonts w:ascii="Arial" w:hAnsi="Arial"/>
          <w:sz w:val="22"/>
          <w:szCs w:val="22"/>
        </w:rPr>
        <w:commentReference w:id="0"/>
      </w:r>
      <w:r>
        <w:rPr>
          <w:rFonts w:ascii="Arial" w:hAnsi="Arial"/>
          <w:sz w:val="22"/>
          <w:szCs w:val="22"/>
        </w:rPr>
        <w:t>.</w:t>
      </w:r>
    </w:p>
    <w:p>
      <w:pPr>
        <w:pStyle w:val="Heading2"/>
        <w:rPr>
          <w:rFonts w:ascii="Arial" w:hAnsi="Arial"/>
          <w:sz w:val="22"/>
          <w:szCs w:val="22"/>
        </w:rPr>
      </w:pPr>
      <w:bookmarkStart w:id="1" w:name="sec:orgee69048"/>
      <w:bookmarkEnd w:id="1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Alignment</w:t>
      </w:r>
    </w:p>
    <w:p>
      <w:pPr>
        <w:pStyle w:val="Fir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Pseudoalignment of raw Illumina sequence reads was computed using kallisto v0.44.0 (</w:t>
      </w:r>
      <w:r>
        <w:rPr>
          <w:rFonts w:ascii="Arial" w:hAnsi="Arial"/>
          <w:i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 xml:space="preserve">). All sequences were aligned to </w:t>
      </w:r>
      <w:r>
        <w:rPr>
          <w:rFonts w:ascii="Arial" w:hAnsi="Arial"/>
          <w:i/>
          <w:sz w:val="22"/>
          <w:szCs w:val="22"/>
        </w:rPr>
        <w:t>Homo sapiens</w:t>
      </w:r>
      <w:r>
        <w:rPr>
          <w:rFonts w:ascii="Arial" w:hAnsi="Arial"/>
          <w:sz w:val="22"/>
          <w:szCs w:val="22"/>
        </w:rPr>
        <w:t xml:space="preserve"> Genome Reference Consortium human build 38 release 79 (GRCh38.rel79) and the astrovirus VA1 genome (GenBank: 4731478). Aligned reads against each genome were tabulated separately.</w:t>
      </w:r>
    </w:p>
    <w:p>
      <w:pPr>
        <w:pStyle w:val="Heading2"/>
        <w:rPr>
          <w:rFonts w:ascii="Arial" w:hAnsi="Arial"/>
          <w:sz w:val="22"/>
          <w:szCs w:val="22"/>
        </w:rPr>
      </w:pPr>
      <w:bookmarkStart w:id="2" w:name="sec:orgc703524"/>
      <w:bookmarkEnd w:id="2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Quantification and Differential Expression analysis</w:t>
      </w:r>
    </w:p>
    <w:p>
      <w:pPr>
        <w:pStyle w:val="FirstParagraph"/>
        <w:rPr/>
      </w:pPr>
      <w:r>
        <w:rPr>
          <w:rFonts w:ascii="Arial" w:hAnsi="Arial"/>
          <w:sz w:val="22"/>
          <w:szCs w:val="22"/>
        </w:rPr>
        <w:t xml:space="preserve">Differential expression of pseudoaligned sequences was calculated using the R package </w:t>
      </w:r>
      <w:r>
        <w:rPr>
          <w:rStyle w:val="VerbatimChar"/>
          <w:rFonts w:ascii="Arial" w:hAnsi="Arial"/>
          <w:sz w:val="22"/>
          <w:szCs w:val="22"/>
        </w:rPr>
        <w:t>DEseq2</w:t>
      </w:r>
      <w:r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i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 xml:space="preserve">). The multiple testing-adjusted p-value was calculated using the </w:t>
      </w:r>
      <w:r>
        <w:rPr>
          <w:rStyle w:val="VerbatimChar"/>
          <w:rFonts w:ascii="Arial" w:hAnsi="Arial"/>
          <w:sz w:val="22"/>
          <w:szCs w:val="22"/>
        </w:rPr>
        <w:t>DESeq2</w:t>
      </w:r>
      <w:r>
        <w:rPr>
          <w:rFonts w:ascii="Arial" w:hAnsi="Arial"/>
          <w:sz w:val="22"/>
          <w:szCs w:val="22"/>
        </w:rPr>
        <w:t xml:space="preserve"> implementation of the Wald test (</w:t>
      </w:r>
      <w:r>
        <w:rPr>
          <w:rFonts w:ascii="Arial" w:hAnsi="Arial"/>
          <w:i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>) to compare viral-infected HIOs to mock-infected HIOs by time point.</w:t>
      </w:r>
    </w:p>
    <w:p>
      <w:pPr>
        <w:pStyle w:val="Heading2"/>
        <w:rPr>
          <w:rFonts w:ascii="Arial" w:hAnsi="Arial"/>
          <w:sz w:val="22"/>
          <w:szCs w:val="22"/>
        </w:rPr>
      </w:pPr>
      <w:bookmarkStart w:id="3" w:name="sec:orgc4ca933"/>
      <w:bookmarkEnd w:id="3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Gene Set Enrichment Analysis</w:t>
      </w:r>
    </w:p>
    <w:p>
      <w:pPr>
        <w:pStyle w:val="FirstParagraph"/>
        <w:rPr/>
      </w:pPr>
      <w:r>
        <w:rPr>
          <w:rFonts w:ascii="Arial" w:hAnsi="Arial"/>
          <w:sz w:val="22"/>
          <w:szCs w:val="22"/>
        </w:rPr>
        <w:t>Gene pathway over-representation tests and Gene Set Enrichment Analysis (</w:t>
      </w:r>
      <w:r>
        <w:rPr>
          <w:rFonts w:ascii="Arial" w:hAnsi="Arial"/>
          <w:i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) were implemented using the R packages </w:t>
      </w:r>
      <w:r>
        <w:rPr>
          <w:rStyle w:val="VerbatimChar"/>
          <w:rFonts w:ascii="Arial" w:hAnsi="Arial"/>
          <w:sz w:val="22"/>
          <w:szCs w:val="22"/>
        </w:rPr>
        <w:t>clusterProfiler</w:t>
      </w:r>
      <w:r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i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 xml:space="preserve">) and </w:t>
      </w:r>
      <w:r>
        <w:rPr>
          <w:rStyle w:val="VerbatimChar"/>
          <w:rFonts w:ascii="Arial" w:hAnsi="Arial"/>
          <w:sz w:val="22"/>
          <w:szCs w:val="22"/>
        </w:rPr>
        <w:t>ReactomePA</w:t>
      </w:r>
      <w:r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i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>). Conserved gene pathways were retrieved from the Gene Ontology Consortium (GO) database (</w:t>
      </w:r>
      <w:r>
        <w:rPr>
          <w:rFonts w:ascii="Arial" w:hAnsi="Arial"/>
          <w:i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>) and REACTOME database (</w:t>
      </w:r>
      <w:r>
        <w:rPr>
          <w:rFonts w:ascii="Arial" w:hAnsi="Arial"/>
          <w:i/>
          <w:sz w:val="22"/>
          <w:szCs w:val="22"/>
        </w:rPr>
        <w:t>7</w:t>
      </w:r>
      <w:r>
        <w:rPr>
          <w:rFonts w:ascii="Arial" w:hAnsi="Arial"/>
          <w:sz w:val="22"/>
          <w:szCs w:val="22"/>
        </w:rPr>
        <w:t>).</w:t>
      </w:r>
    </w:p>
    <w:p>
      <w:pPr>
        <w:pStyle w:val="Heading2"/>
        <w:rPr>
          <w:rFonts w:ascii="Arial" w:hAnsi="Arial"/>
          <w:sz w:val="22"/>
          <w:szCs w:val="22"/>
        </w:rPr>
      </w:pPr>
      <w:bookmarkStart w:id="4" w:name="sec:orgf839bb8"/>
      <w:bookmarkEnd w:id="4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Statistical analysis</w:t>
      </w:r>
    </w:p>
    <w:p>
      <w:pPr>
        <w:pStyle w:val="FirstParagraph"/>
        <w:rPr/>
      </w:pPr>
      <w:r>
        <w:rPr>
          <w:rFonts w:ascii="Arial" w:hAnsi="Arial"/>
          <w:sz w:val="22"/>
          <w:szCs w:val="22"/>
        </w:rPr>
        <w:t>All RNA-seq analysis was conducted in R (</w:t>
      </w:r>
      <w:r>
        <w:rPr>
          <w:rFonts w:ascii="Arial" w:hAnsi="Arial"/>
          <w:i/>
          <w:sz w:val="22"/>
          <w:szCs w:val="22"/>
        </w:rPr>
        <w:t>8</w:t>
      </w:r>
      <w:r>
        <w:rPr>
          <w:rFonts w:ascii="Arial" w:hAnsi="Arial"/>
          <w:sz w:val="22"/>
          <w:szCs w:val="22"/>
        </w:rPr>
        <w:t>) using GNU Emacs v25.1 (</w:t>
      </w:r>
      <w:r>
        <w:rPr>
          <w:rFonts w:ascii="Arial" w:hAnsi="Arial"/>
          <w:i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 xml:space="preserve">) on the 64-bit Debian Linux stable version 9 operating system. Plots were constructed using the R package </w:t>
      </w:r>
      <w:r>
        <w:rPr>
          <w:rStyle w:val="VerbatimChar"/>
          <w:rFonts w:ascii="Arial" w:hAnsi="Arial"/>
          <w:sz w:val="22"/>
          <w:szCs w:val="22"/>
        </w:rPr>
        <w:t>ggplot2</w:t>
      </w:r>
      <w:r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i/>
          <w:sz w:val="22"/>
          <w:szCs w:val="22"/>
        </w:rPr>
        <w:t>10</w:t>
      </w:r>
      <w:r>
        <w:rPr>
          <w:rFonts w:ascii="Arial" w:hAnsi="Arial"/>
          <w:sz w:val="22"/>
          <w:szCs w:val="22"/>
        </w:rPr>
        <w:t xml:space="preserve">). Data analysis scripts and further documentation for the RNA-seq analysis are available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https://github.com/hilldr/astrovirus</w:t>
        </w:r>
      </w:hyperlink>
    </w:p>
    <w:p>
      <w:pPr>
        <w:pStyle w:val="Heading1"/>
        <w:rPr>
          <w:rFonts w:ascii="Arial" w:hAnsi="Arial"/>
          <w:sz w:val="22"/>
          <w:szCs w:val="22"/>
        </w:rPr>
      </w:pPr>
      <w:bookmarkStart w:id="5" w:name="sec:orgc2970e5"/>
      <w:bookmarkEnd w:id="5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References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1. N. L. Bray, H. Pimentel, P. Melsted, L. Pachter, Near-optimal probabilistic rna-seq quantification. </w:t>
      </w:r>
      <w:r>
        <w:rPr>
          <w:rFonts w:ascii="Arial" w:hAnsi="Arial"/>
          <w:i/>
          <w:sz w:val="22"/>
          <w:szCs w:val="22"/>
        </w:rPr>
        <w:t>Nat Biotechnol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34</w:t>
      </w:r>
      <w:r>
        <w:rPr>
          <w:rFonts w:ascii="Arial" w:hAnsi="Arial"/>
          <w:sz w:val="22"/>
          <w:szCs w:val="22"/>
        </w:rPr>
        <w:t>, 525–7 (2016).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M. I. Love, W. Huber, S. Anders, Moderated estimation of fold change and dispersion for rna-seq data with deseq2. </w:t>
      </w:r>
      <w:r>
        <w:rPr>
          <w:rFonts w:ascii="Arial" w:hAnsi="Arial"/>
          <w:i/>
          <w:sz w:val="22"/>
          <w:szCs w:val="22"/>
        </w:rPr>
        <w:t>Genome Biology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15</w:t>
      </w:r>
      <w:r>
        <w:rPr>
          <w:rFonts w:ascii="Arial" w:hAnsi="Arial"/>
          <w:sz w:val="22"/>
          <w:szCs w:val="22"/>
        </w:rPr>
        <w:t>, 550 (2014).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A. Subramanian </w:t>
      </w:r>
      <w:r>
        <w:rPr>
          <w:rFonts w:ascii="Arial" w:hAnsi="Arial"/>
          <w:i/>
          <w:sz w:val="22"/>
          <w:szCs w:val="22"/>
        </w:rPr>
        <w:t>et al.</w:t>
      </w:r>
      <w:r>
        <w:rPr>
          <w:rFonts w:ascii="Arial" w:hAnsi="Arial"/>
          <w:sz w:val="22"/>
          <w:szCs w:val="22"/>
        </w:rPr>
        <w:t xml:space="preserve">, Gene set enrichment analysis: A knowledge-based approach for interpreting genome-wide expression profiles. </w:t>
      </w:r>
      <w:r>
        <w:rPr>
          <w:rFonts w:ascii="Arial" w:hAnsi="Arial"/>
          <w:i/>
          <w:sz w:val="22"/>
          <w:szCs w:val="22"/>
        </w:rPr>
        <w:t>Proc Natl Acad Sci U S A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102</w:t>
      </w:r>
      <w:r>
        <w:rPr>
          <w:rFonts w:ascii="Arial" w:hAnsi="Arial"/>
          <w:sz w:val="22"/>
          <w:szCs w:val="22"/>
        </w:rPr>
        <w:t>, 15545–50 (2005).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4. G. Yu, L.-G. Wang, Y. Han, Q.-Y. He, ClusterProfiler: An r package for comparing biological themes among gene clusters. </w:t>
      </w:r>
      <w:r>
        <w:rPr>
          <w:rFonts w:ascii="Arial" w:hAnsi="Arial"/>
          <w:i/>
          <w:sz w:val="22"/>
          <w:szCs w:val="22"/>
        </w:rPr>
        <w:t>OMICS: A Journal of Integrative Biology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16</w:t>
      </w:r>
      <w:r>
        <w:rPr>
          <w:rFonts w:ascii="Arial" w:hAnsi="Arial"/>
          <w:sz w:val="22"/>
          <w:szCs w:val="22"/>
        </w:rPr>
        <w:t>, 284–287 (2012).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5. G. Yu, Q.-Y. He, ReactomePA: An r/bioconductor package for reactome pathway analysis and visualization. </w:t>
      </w:r>
      <w:r>
        <w:rPr>
          <w:rFonts w:ascii="Arial" w:hAnsi="Arial"/>
          <w:i/>
          <w:sz w:val="22"/>
          <w:szCs w:val="22"/>
        </w:rPr>
        <w:t>Molecular BioSystems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12</w:t>
      </w:r>
      <w:r>
        <w:rPr>
          <w:rFonts w:ascii="Arial" w:hAnsi="Arial"/>
          <w:sz w:val="22"/>
          <w:szCs w:val="22"/>
        </w:rPr>
        <w:t>, 477–479 (2016).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6. Gene Ontology Consortium, Gene ontology consortium: Going forward. </w:t>
      </w:r>
      <w:r>
        <w:rPr>
          <w:rFonts w:ascii="Arial" w:hAnsi="Arial"/>
          <w:i/>
          <w:sz w:val="22"/>
          <w:szCs w:val="22"/>
        </w:rPr>
        <w:t>Nucleic Acids Res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43</w:t>
      </w:r>
      <w:r>
        <w:rPr>
          <w:rFonts w:ascii="Arial" w:hAnsi="Arial"/>
          <w:sz w:val="22"/>
          <w:szCs w:val="22"/>
        </w:rPr>
        <w:t>, D1049–56 (2015).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7. A. Fabregat </w:t>
      </w:r>
      <w:r>
        <w:rPr>
          <w:rFonts w:ascii="Arial" w:hAnsi="Arial"/>
          <w:i/>
          <w:sz w:val="22"/>
          <w:szCs w:val="22"/>
        </w:rPr>
        <w:t>et al.</w:t>
      </w:r>
      <w:r>
        <w:rPr>
          <w:rFonts w:ascii="Arial" w:hAnsi="Arial"/>
          <w:sz w:val="22"/>
          <w:szCs w:val="22"/>
        </w:rPr>
        <w:t xml:space="preserve">, The reactome pathway knowledgebase. </w:t>
      </w:r>
      <w:r>
        <w:rPr>
          <w:rFonts w:ascii="Arial" w:hAnsi="Arial"/>
          <w:i/>
          <w:sz w:val="22"/>
          <w:szCs w:val="22"/>
        </w:rPr>
        <w:t>Nucleic Acids Res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46</w:t>
      </w:r>
      <w:r>
        <w:rPr>
          <w:rFonts w:ascii="Arial" w:hAnsi="Arial"/>
          <w:sz w:val="22"/>
          <w:szCs w:val="22"/>
        </w:rPr>
        <w:t>, D649–D655 (2018).</w:t>
      </w:r>
    </w:p>
    <w:p>
      <w:pPr>
        <w:pStyle w:val="Bibliography"/>
        <w:rPr/>
      </w:pPr>
      <w:r>
        <w:rPr>
          <w:rFonts w:ascii="Arial" w:hAnsi="Arial"/>
          <w:sz w:val="22"/>
          <w:szCs w:val="22"/>
        </w:rPr>
        <w:t xml:space="preserve">8. R Core Team, </w:t>
      </w:r>
      <w:r>
        <w:rPr>
          <w:rFonts w:ascii="Arial" w:hAnsi="Arial"/>
          <w:i/>
          <w:sz w:val="22"/>
          <w:szCs w:val="22"/>
        </w:rPr>
        <w:t>R: A language and environment for statistical computing</w:t>
      </w:r>
      <w:r>
        <w:rPr>
          <w:rFonts w:ascii="Arial" w:hAnsi="Arial"/>
          <w:sz w:val="22"/>
          <w:szCs w:val="22"/>
        </w:rPr>
        <w:t xml:space="preserve"> (R Foundation for Statistical Computing, Vienna, Austria, 2017; </w:t>
      </w:r>
      <w:hyperlink r:id="rId3">
        <w:r>
          <w:rPr>
            <w:rStyle w:val="InternetLink"/>
            <w:rFonts w:ascii="Arial" w:hAnsi="Arial"/>
            <w:sz w:val="22"/>
            <w:szCs w:val="22"/>
          </w:rPr>
          <w:t>https://www.R-project.org/</w:t>
        </w:r>
      </w:hyperlink>
      <w:r>
        <w:rPr>
          <w:rFonts w:ascii="Arial" w:hAnsi="Arial"/>
          <w:sz w:val="22"/>
          <w:szCs w:val="22"/>
        </w:rPr>
        <w:t>).</w:t>
      </w:r>
    </w:p>
    <w:p>
      <w:pPr>
        <w:pStyle w:val="Bibliograph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9. R. M. Stallman, EMACS the extensible, customizable self-documenting display editor. </w:t>
      </w:r>
      <w:r>
        <w:rPr>
          <w:rFonts w:ascii="Arial" w:hAnsi="Arial"/>
          <w:i/>
          <w:sz w:val="22"/>
          <w:szCs w:val="22"/>
        </w:rPr>
        <w:t>ACM SIGOA Newsletter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>, 147–156 (1981).</w:t>
      </w:r>
    </w:p>
    <w:p>
      <w:pPr>
        <w:pStyle w:val="Bibliography"/>
        <w:spacing w:before="0" w:after="200"/>
        <w:rPr/>
      </w:pPr>
      <w:r>
        <w:rPr>
          <w:rFonts w:ascii="Arial" w:hAnsi="Arial"/>
          <w:sz w:val="22"/>
          <w:szCs w:val="22"/>
        </w:rPr>
        <w:t xml:space="preserve">10. H. Wickham, </w:t>
      </w:r>
      <w:r>
        <w:rPr>
          <w:rFonts w:ascii="Arial" w:hAnsi="Arial"/>
          <w:i/>
          <w:sz w:val="22"/>
          <w:szCs w:val="22"/>
        </w:rPr>
        <w:t>Ggplot2: Elegant graphics for data analysis</w:t>
      </w:r>
      <w:r>
        <w:rPr>
          <w:rFonts w:ascii="Arial" w:hAnsi="Arial"/>
          <w:sz w:val="22"/>
          <w:szCs w:val="22"/>
        </w:rPr>
        <w:t xml:space="preserve"> (Springer-Verlag New York, 2009; </w:t>
      </w:r>
      <w:hyperlink r:id="rId4">
        <w:r>
          <w:rPr>
            <w:rStyle w:val="InternetLink"/>
            <w:rFonts w:ascii="Arial" w:hAnsi="Arial"/>
            <w:sz w:val="22"/>
            <w:szCs w:val="22"/>
          </w:rPr>
          <w:t>http://ggplot2.org</w:t>
        </w:r>
      </w:hyperlink>
      <w:r>
        <w:rPr>
          <w:rFonts w:ascii="Arial" w:hAnsi="Arial"/>
          <w:sz w:val="22"/>
          <w:szCs w:val="22"/>
        </w:rPr>
        <w:t>).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vid Hill" w:date="2018-11-07T15:52:24Z" w:initials="DH">
    <w:p>
      <w:r>
        <w:rPr>
          <w:rFonts w:eastAsia="Cambria" w:cstheme="minorBidi" w:eastAsiaTheme="minorHAnsi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If you would like, I can submit the RNA-seq files to this public database and get a permanent accession number.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illdr/astrovirus" TargetMode="External"/><Relationship Id="rId3" Type="http://schemas.openxmlformats.org/officeDocument/2006/relationships/hyperlink" Target="https://www.R-project.org/" TargetMode="External"/><Relationship Id="rId4" Type="http://schemas.openxmlformats.org/officeDocument/2006/relationships/hyperlink" Target="http://ggplot2.org/" TargetMode="Externa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LibreOffice/5.2.7.2$Linux_X86_64 LibreOffice_project/20m0$Build-2</Application>
  <Pages>2</Pages>
  <Words>455</Words>
  <Characters>2753</Characters>
  <CharactersWithSpaces>3185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2018-11-07T20:51:11Z</dcterms:created>
  <dc:creator>David R. Hill</dc:creator>
  <dc:description/>
  <dc:language>en-US</dc:language>
  <cp:lastModifiedBy>David Hill</cp:lastModifiedBy>
  <dcterms:modified xsi:type="dcterms:W3CDTF">2018-11-07T15:54:05Z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