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 w:bidi="1" w:mirrorIndents="1">
        <w:pStyle w:val="Heading1"/>
        <w:jc w:val="right"/>
      </w:pPr>
      <w:r>
        <w:rPr>
          <w:rFonts w:ascii="David" w:hAnsi="David"/>
          <w:sz w:val="22"/>
        </w:rPr>
        <w:t>הסבר: למה לכל פולינום ממעלה אי-זוגית יש שורש ממשי?</w:t>
      </w:r>
    </w:p>
    <w:p>
      <w:pPr w:bidi="1" w:mirrorIndents="1">
        <w:jc w:val="right"/>
      </w:pPr>
      <w:r>
        <w:rPr>
          <w:rFonts w:ascii="David" w:hAnsi="David"/>
          <w:sz w:val="22"/>
        </w:rPr>
        <w:t>היי אורי! בטח, בוא נעבור על ההוכחה הזו ביחד. הרעיון המרכזי מאחוריה הוא *משפט ערך הביניים*, שאומר שאם פונקציה רציפה (כמו פולינום) מקבלת ערך חיובי וגם ערך שלילי, היא חייבת לחתוך את ציר ה-x איפשהו ביניהם. הנקודה הזו היא השורש שלנו!</w:t>
      </w:r>
    </w:p>
    <w:p>
      <w:pPr w:bidi="1" w:mirrorIndents="1">
        <w:pStyle w:val="Heading2"/>
        <w:jc w:val="right"/>
      </w:pPr>
      <w:r>
        <w:rPr>
          <w:rFonts w:ascii="David" w:hAnsi="David"/>
          <w:sz w:val="22"/>
        </w:rPr>
        <w:t>שלב א': פירוק הפולינום</w:t>
      </w:r>
    </w:p>
    <w:p>
      <w:pPr w:bidi="1" w:mirrorIndents="1">
        <w:jc w:val="right"/>
      </w:pPr>
      <w:r>
        <w:rPr>
          <w:rFonts w:ascii="David" w:hAnsi="David"/>
          <w:sz w:val="22"/>
        </w:rPr>
        <w:t>נתחיל עם פולינום כללי ממעלה אי-זוגית n:</w:t>
      </w:r>
    </w:p>
    <w:p>
      <w:pPr w:bidi="1" w:mirrorIndents="1">
        <w:jc w:val="right"/>
      </w:pPr>
    </w:p>
    <w:p>
      <w:pPr w:bidi="1" w:mirrorIndents="1">
        <w:jc w:val="right"/>
      </w:pPr>
      <w:r>
        <w:rPr>
          <w:rFonts w:ascii="David" w:hAnsi="David"/>
          <w:sz w:val="22"/>
        </w:rPr>
        <w:t>כאשר `n` הוא מספר אי-זוגי והמקדם המוביל `a_n \neq 0`. השלב הראשון, שזה מה ששלחת, הוא להוציא את החזקה הכי גבוהה (`x^n`) מחוץ לסוגריים. זה עוזר לנו לראות מה 'שולט' בהתנהגות של הפולינום כש-x גדול מאוד:</w:t>
      </w:r>
    </w:p>
    <w:p>
      <w:pPr w:bidi="1" w:mirrorIndents="1">
        <w:jc w:val="right"/>
      </w:pPr>
    </w:p>
    <w:p>
      <w:pPr w:bidi="1" w:mirrorIndents="1">
        <w:jc w:val="right"/>
      </w:pPr>
      <w:r>
        <w:rPr>
          <w:rFonts w:ascii="David" w:hAnsi="David"/>
          <w:sz w:val="22"/>
        </w:rPr>
        <w:t>לנוחות, נסמן את הביטוי שבסוגריים כפונקציה חדשה, `g(x)`:</w:t>
      </w:r>
    </w:p>
    <w:p>
      <w:pPr w:bidi="1" w:mirrorIndents="1">
        <w:jc w:val="right"/>
      </w:pPr>
    </w:p>
    <w:p>
      <w:pPr w:bidi="1" w:mirrorIndents="1">
        <w:jc w:val="right"/>
      </w:pPr>
      <w:r>
        <w:rPr>
          <w:rFonts w:ascii="David" w:hAnsi="David"/>
          <w:sz w:val="22"/>
        </w:rPr>
        <w:t>ולכן, אפשר לרשום את הפולינום המקורי כמכפלה:</w:t>
      </w:r>
    </w:p>
    <w:p>
      <w:pPr w:bidi="1" w:mirrorIndents="1">
        <w:jc w:val="right"/>
      </w:pPr>
    </w:p>
    <w:p>
      <w:pPr w:bidi="1" w:mirrorIndents="1">
        <w:pStyle w:val="Heading2"/>
        <w:jc w:val="right"/>
      </w:pPr>
      <w:r>
        <w:rPr>
          <w:rFonts w:ascii="David" w:hAnsi="David"/>
          <w:sz w:val="22"/>
        </w:rPr>
        <w:t>שלב ב': התנהגות הפולינום באינסוף</w:t>
      </w:r>
    </w:p>
    <w:p>
      <w:pPr w:bidi="1" w:mirrorIndents="1">
        <w:jc w:val="right"/>
      </w:pPr>
      <w:r>
        <w:rPr>
          <w:rFonts w:ascii="David" w:hAnsi="David"/>
          <w:sz w:val="22"/>
        </w:rPr>
        <w:t>עכשיו בוא נראה מה קורה כש-x הולך וגדל (שואף לאינסוף) או הולך וקטן (שואף למינוס אינסוף). נסתכל על הגבול של `g(x)`:</w:t>
      </w:r>
    </w:p>
    <w:p>
      <w:pPr w:bidi="1" w:mirrorIndents="1">
        <w:jc w:val="right"/>
      </w:pPr>
    </w:p>
    <w:p>
      <w:pPr w:bidi="1" w:mirrorIndents="1">
        <w:jc w:val="right"/>
      </w:pPr>
      <w:r>
        <w:rPr>
          <w:rFonts w:ascii="David" w:hAnsi="David"/>
          <w:sz w:val="22"/>
        </w:rPr>
        <w:t>כל האיברים עם x במכנה שואפים ל-0, ונשארנו רק עם המקדם המוביל:</w:t>
      </w:r>
    </w:p>
    <w:p>
      <w:pPr w:bidi="1" w:mirrorIndents="1">
        <w:jc w:val="right"/>
      </w:pPr>
    </w:p>
    <w:p>
      <w:pPr w:bidi="1" w:mirrorIndents="1">
        <w:jc w:val="right"/>
      </w:pPr>
      <w:r>
        <w:rPr>
          <w:rFonts w:ascii="David" w:hAnsi="David"/>
          <w:sz w:val="22"/>
        </w:rPr>
        <w:t>זה אומר שכאשר x הוא מספר גדול מאוד (חיובי או שלילי), הפונקציה `P(x)` מתנהגת בערך כמו `a_n \cdot x^n`. כאן נכנס הקטע המכריע של `n` אי-זוגי.</w:t>
      </w:r>
    </w:p>
    <w:p>
      <w:pPr w:bidi="1" w:mirrorIndents="1">
        <w:pStyle w:val="Heading3"/>
        <w:jc w:val="right"/>
      </w:pPr>
      <w:r>
        <w:rPr>
          <w:rFonts w:ascii="David" w:hAnsi="David"/>
          <w:sz w:val="22"/>
        </w:rPr>
        <w:t>מקרה 1: המקדם המוביל `a_n` חיובי (`a_n &gt; 0`)</w:t>
      </w:r>
    </w:p>
    <w:p>
      <w:pPr w:bidi="1" w:mirrorIndents="1">
        <w:jc w:val="right"/>
      </w:pPr>
      <w:r>
        <w:rPr>
          <w:rFonts w:ascii="David" w:hAnsi="David"/>
          <w:sz w:val="22"/>
        </w:rPr>
        <w:t>• כש-x שואף לאינסוף (`x \to \infty`), גם `x^n` שואף לאינסוף (כי `n` אי-זוגי), ולכן `P(x)` שואף לאינסוף (חיובי).</w:t>
        <w:br/>
        <w:t>• כש-x שואף למינוס אינסוף (`x \to -\infty`), `x^n` שואף למינוס אינסוף (כי `n` אי-זוגי וחזקה אי-זוגית שומרת על הסימן), ולכן `P(x)` שואף למינוס אינסוף (שלילי).</w:t>
      </w:r>
    </w:p>
    <w:p>
      <w:pPr w:bidi="1" w:mirrorIndents="1">
        <w:pStyle w:val="Heading3"/>
        <w:jc w:val="right"/>
      </w:pPr>
      <w:r>
        <w:rPr>
          <w:rFonts w:ascii="David" w:hAnsi="David"/>
          <w:sz w:val="22"/>
        </w:rPr>
        <w:t>מקרה 2: המקדם המוביל `a_n` שלילי (`a_n &lt; 0`)</w:t>
      </w:r>
    </w:p>
    <w:p>
      <w:pPr w:bidi="1" w:mirrorIndents="1">
        <w:jc w:val="right"/>
      </w:pPr>
      <w:r>
        <w:rPr>
          <w:rFonts w:ascii="David" w:hAnsi="David"/>
          <w:sz w:val="22"/>
        </w:rPr>
        <w:t>• כש-x שואף לאינסוף (`x \to \infty`), `P(x)` שואף למינוס אינסוף (שלילי).</w:t>
        <w:br/>
        <w:t>• כש-x שואף למינוס אינסוף (`x \to -\infty`), `P(x)` שואף לאינסוף (חיובי).</w:t>
      </w:r>
    </w:p>
    <w:p>
      <w:pPr w:bidi="1" w:mirrorIndents="1">
        <w:pStyle w:val="Heading2"/>
        <w:jc w:val="right"/>
      </w:pPr>
      <w:r>
        <w:rPr>
          <w:rFonts w:ascii="David" w:hAnsi="David"/>
          <w:sz w:val="22"/>
        </w:rPr>
        <w:t>שלב ג': המסקנה ממשפט ערך הביניים</w:t>
      </w:r>
    </w:p>
    <w:p>
      <w:pPr w:bidi="1" w:mirrorIndents="1">
        <w:jc w:val="right"/>
      </w:pPr>
      <w:r>
        <w:rPr>
          <w:rFonts w:ascii="David" w:hAnsi="David"/>
          <w:sz w:val="22"/>
        </w:rPr>
        <w:t>בשני המקרים ראינו שהפולינום מקבל גם ערכים חיוביים מאוד וגם ערכים שליליים מאוד. מכיוון שפולינום הוא פונקציה רציפה, לפי משפט ערך הביניים, חייבת להיות נקודה `c` כלשהי שבה הפולינום שווה בדיוק לאפס. כלומר, `P(c) = 0`. הנקודה `c` היא שורש ממשי של הפולינום.</w:t>
      </w:r>
    </w:p>
    <w:p>
      <w:pPr w:bidi="1" w:mirrorIndents="1">
        <w:jc w:val="right"/>
      </w:pPr>
      <w:r>
        <w:rPr>
          <w:rFonts w:ascii="David" w:hAnsi="David"/>
          <w:b/>
          <w:sz w:val="22"/>
        </w:rPr>
        <w:t>מקווה שההסבר הזה עוזר לך להבין את ההוכחה טוב יותר! אם יש משהו לא ברור, אל תהסס לשאול. בהצלחה במבחן! 💪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  <w:rtlGutter w:val="true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 w:bidi="1" w:mirrorIndents="1">
      <w:pStyle w:val="Footer"/>
      <w:jc w:val="right"/>
    </w:pPr>
    <w:r>
      <w:fldSimple w:instr=" PAGE \* MERGEFORMAT 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ocDefaults>
    <w:rPrDefault>
      <w:rPr>
        <w:rtl/>
        <w:lang w:val="he-IL" w:eastAsia="en-US" w:bidi="he-IL"/>
      </w:rPr>
    </w:rPrDefault>
  </w:docDefaults>
  <w:bidi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</w:pPr>
    <w:rPr>
      <w:rFonts w:ascii="David" w:hAnsi="David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right"/>
      <w:outlineLvl w:val="0"/>
    </w:pPr>
    <w:rPr>
      <w:rFonts w:asciiTheme="majorHAnsi" w:eastAsiaTheme="majorEastAsia" w:hAnsiTheme="majorHAnsi" w:cstheme="majorBidi" w:ascii="David" w:hAnsi="David"/>
      <w:b/>
      <w:bCs/>
      <w:color w:val="365F91" w:themeColor="accent1" w:themeShade="B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jc w:val="right"/>
      <w:outlineLvl w:val="1"/>
    </w:pPr>
    <w:rPr>
      <w:rFonts w:asciiTheme="majorHAnsi" w:eastAsiaTheme="majorEastAsia" w:hAnsiTheme="majorHAnsi" w:cstheme="majorBidi" w:ascii="David" w:hAnsi="David"/>
      <w:b/>
      <w:bCs/>
      <w:color w:val="4F81BD" w:themeColor="accent1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jc w:val="right"/>
      <w:outlineLvl w:val="2"/>
    </w:pPr>
    <w:rPr>
      <w:rFonts w:asciiTheme="majorHAnsi" w:eastAsiaTheme="majorEastAsia" w:hAnsiTheme="majorHAnsi" w:cstheme="majorBidi" w:ascii="David" w:hAnsi="David"/>
      <w:b/>
      <w:bCs/>
      <w:color w:val="4F81BD" w:themeColor="accent1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jc w:val="right"/>
      <w:outlineLvl w:val="3"/>
    </w:pPr>
    <w:rPr>
      <w:rFonts w:asciiTheme="majorHAnsi" w:eastAsiaTheme="majorEastAsia" w:hAnsiTheme="majorHAnsi" w:cstheme="majorBidi" w:ascii="David" w:hAnsi="David"/>
      <w:b/>
      <w:bCs/>
      <w:i/>
      <w:iCs/>
      <w:color w:val="4F81BD" w:themeColor="accent1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right"/>
    </w:pPr>
    <w:rPr>
      <w:rFonts w:asciiTheme="majorHAnsi" w:eastAsiaTheme="majorEastAsia" w:hAnsiTheme="majorHAnsi" w:cstheme="majorBidi" w:ascii="David" w:hAnsi="David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