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B3A5C"/>
          <w:sz w:val="44"/>
          <w:szCs w:val="44"/>
        </w:rPr>
        <w:t xml:space="preserve">LASTEN- UND PFLICHTENHEFT</w:t>
      </w:r>
    </w:p>
    <w:p>
      <w:pPr>
        <w:spacing w:before="300"/>
        <w:jc w:val="center"/>
      </w:pPr>
      <w:r>
        <w:rPr>
          <w:rFonts w:ascii="Calibri" w:cs="Calibri" w:eastAsia="Calibri" w:hAnsi="Calibri"/>
          <w:b/>
          <w:bCs/>
          <w:color w:val="111111"/>
          <w:sz w:val="56"/>
          <w:szCs w:val="56"/>
        </w:rPr>
        <w:t xml:space="preserve">KaspaNotar</w:t>
      </w:r>
    </w:p>
    <w:p>
      <w:pPr>
        <w:spacing w:after="600" w:before="150"/>
        <w:jc w:val="center"/>
      </w:pPr>
      <w:r>
        <w:rPr>
          <w:rFonts w:ascii="Calibri" w:cs="Calibri" w:eastAsia="Calibri" w:hAnsi="Calibri"/>
          <w:i/>
          <w:iCs/>
          <w:color w:val="666666"/>
          <w:sz w:val="26"/>
          <w:szCs w:val="26"/>
        </w:rPr>
        <w:t xml:space="preserve">Digitaler Dokumenten-Notar auf Basis der Kaspa BlockDAG</w:t>
      </w:r>
    </w:p>
    <w:p>
      <w:pPr>
        <w:spacing w:before="1200"/>
        <w:jc w:val="center"/>
      </w:pPr>
      <w:r>
        <w:rPr>
          <w:rFonts w:ascii="Calibri" w:cs="Calibri" w:eastAsia="Calibri" w:hAnsi="Calibri"/>
          <w:sz w:val="22"/>
          <w:szCs w:val="22"/>
        </w:rPr>
        <w:t xml:space="preserve">Version 0.1 – Entwurf</w:t>
      </w:r>
    </w:p>
    <w:p>
      <w:pPr>
        <w:jc w:val="center"/>
      </w:pPr>
      <w:r>
        <w:rPr>
          <w:rFonts w:ascii="Calibri" w:cs="Calibri" w:eastAsia="Calibri" w:hAnsi="Calibri"/>
          <w:sz w:val="22"/>
          <w:szCs w:val="22"/>
        </w:rPr>
        <w:t xml:space="preserve">Stand: 19. Juli 2026</w:t>
      </w:r>
    </w:p>
    <w:p>
      <w:pPr>
        <w:spacing w:before="40"/>
        <w:jc w:val="center"/>
      </w:pPr>
      <w:r>
        <w:rPr>
          <w:rFonts w:ascii="Calibri" w:cs="Calibri" w:eastAsia="Calibri" w:hAnsi="Calibri"/>
          <w:sz w:val="22"/>
          <w:szCs w:val="22"/>
        </w:rPr>
        <w:t xml:space="preserve">Projektverantwortlicher: Andy</w:t>
      </w:r>
    </w:p>
    <w:p>
      <w:r>
        <w:br w:type="page"/>
      </w:r>
    </w:p>
    <w:p>
      <w:pPr>
        <w:pStyle w:val="Heading1"/>
        <w:pBdr>
          <w:bottom w:val="single" w:color="1B3A5C" w:sz="8" w:space="4"/>
        </w:pBdr>
        <w:spacing w:after="200" w:before="400"/>
      </w:pPr>
      <w:r>
        <w:rPr>
          <w:b/>
          <w:bCs/>
          <w:color w:val="1B3A5C"/>
          <w:sz w:val="30"/>
          <w:szCs w:val="30"/>
        </w:rPr>
        <w:t xml:space="preserve">1. Einleitung</w:t>
      </w:r>
    </w:p>
    <w:p>
      <w:pPr>
        <w:pStyle w:val="Heading2"/>
        <w:spacing w:after="150" w:before="300"/>
      </w:pPr>
      <w:r>
        <w:rPr>
          <w:b/>
          <w:bCs/>
          <w:color w:val="1B3A5C"/>
          <w:sz w:val="25"/>
          <w:szCs w:val="25"/>
        </w:rPr>
        <w:t xml:space="preserve">1.1 Zweck des Dokuments</w:t>
      </w:r>
    </w:p>
    <w:p>
      <w:pPr>
        <w:spacing w:after="160" w:line="276"/>
      </w:pPr>
      <w:r>
        <w:rPr>
          <w:rFonts w:ascii="Calibri" w:cs="Calibri" w:eastAsia="Calibri" w:hAnsi="Calibri"/>
          <w:sz w:val="21"/>
          <w:szCs w:val="21"/>
        </w:rPr>
        <w:t xml:space="preserve">Dieses Dokument beschreibt in zwei Teilen die Anforderungen an das Projekt „KaspaNotar“: Das Lastenheft (Kapitel 2) beschreibt aus fachlicher Sicht, WAS das System leisten soll – die Anforderungen des Auftraggebers. Das Pflichtenheft (Kapitel 3) beschreibt, WIE diese Anforderungen technisch umgesetzt werden. Der Projektname „KaspaNotar“ ist ein Arbeitstitel und kann jederzeit angepasst werden.</w:t>
      </w:r>
    </w:p>
    <w:p>
      <w:pPr>
        <w:pStyle w:val="Heading2"/>
        <w:spacing w:after="150" w:before="300"/>
      </w:pPr>
      <w:r>
        <w:rPr>
          <w:b/>
          <w:bCs/>
          <w:color w:val="1B3A5C"/>
          <w:sz w:val="25"/>
          <w:szCs w:val="25"/>
        </w:rPr>
        <w:t xml:space="preserve">1.2 Projektüberblick</w:t>
      </w:r>
    </w:p>
    <w:p>
      <w:pPr>
        <w:spacing w:after="160" w:line="276"/>
      </w:pPr>
      <w:r>
        <w:rPr>
          <w:rFonts w:ascii="Calibri" w:cs="Calibri" w:eastAsia="Calibri" w:hAnsi="Calibri"/>
          <w:sz w:val="21"/>
          <w:szCs w:val="21"/>
        </w:rPr>
        <w:t xml:space="preserve">KaspaNotar ist eine App und Webseite, mit der Nutzer ein PDF-Dokument hochladen können. Aus dem Dokument wird lokal ein kryptografischer Hashwert berechnet. Dieser Hashwert wird als Datenpayload in eine Transaktion auf der Kaspa BlockDAG eingebettet. Da Kaspa Transaktionen mit hoher Geschwindigkeit (BlockDAG, aktuell 10 Blöcke/Sekunde im Mainnet) und sehr geringen Gebühren verarbeitet, entsteht ein fälschungssicherer, öffentlich verifizierbarer Zeitstempel-Nachweis für die Existenz eines Dokuments zu einem bestimmten Zeitpunkt – ohne dass der Dokumenteninhalt selbst jemals die Server verlässt oder gespeichert wird.</w:t>
      </w:r>
    </w:p>
    <w:p>
      <w:pPr>
        <w:pStyle w:val="Heading2"/>
        <w:spacing w:after="150" w:before="300"/>
      </w:pPr>
      <w:r>
        <w:rPr>
          <w:b/>
          <w:bCs/>
          <w:color w:val="1B3A5C"/>
          <w:sz w:val="25"/>
          <w:szCs w:val="25"/>
        </w:rPr>
        <w:t xml:space="preserve">1.3 Wichtiger rechtlicher Hinweis</w:t>
      </w:r>
    </w:p>
    <w:p>
      <w:pPr>
        <w:pBdr>
          <w:top w:val="single" w:color="E0B84C" w:sz="4" w:space="6"/>
          <w:bottom w:val="single" w:color="E0B84C" w:sz="4" w:space="6"/>
          <w:left w:val="single" w:color="E0B84C" w:sz="12" w:space="6"/>
          <w:right w:val="single" w:color="E0B84C" w:sz="4" w:space="6"/>
        </w:pBdr>
        <w:shd w:fill="FFF4D6" w:val="clear"/>
        <w:spacing w:after="200" w:before="120"/>
      </w:pPr>
      <w:r>
        <w:rPr>
          <w:rFonts w:ascii="Calibri" w:cs="Calibri" w:eastAsia="Calibri" w:hAnsi="Calibri"/>
          <w:i/>
          <w:iCs/>
          <w:sz w:val="20"/>
          <w:szCs w:val="20"/>
        </w:rPr>
        <w:t xml:space="preserve">Hinweis: „KaspaNotar“ ersetzt keinen amtlich bestellten Notar und keine notarielle Beurkundung im Sinne des deutschen Beurkundungsgesetzes. Das System erbringt einen technischen Existenz- und Zeitstempel-Nachweis (Proof of Existence), vergleichbar mit einem digitalen Poststempel. Für rechtsverbindliche Beglaubigungen, öffentliche Urkunden oder Willenserklärungen mit Formzwang (z. B. Grundstücksverträge, Eheverträge) bleibt ein realer Notar erforderlich. Eine mögliche Einordnung als qualifizierter elektronischer Zeitstempel nach eIDAS-Verordnung ist technisch nicht automatisch gegeben und müsste separat geprüft/zertifiziert werden. Dieser Punkt sollte in Kapitel 2.7 vertieft und ggf. juristisch geprüft werden.</w:t>
      </w:r>
    </w:p>
    <w:p>
      <w:r>
        <w:br w:type="page"/>
      </w:r>
    </w:p>
    <w:p>
      <w:pPr>
        <w:pStyle w:val="Heading1"/>
        <w:pBdr>
          <w:bottom w:val="single" w:color="1B3A5C" w:sz="8" w:space="4"/>
        </w:pBdr>
        <w:spacing w:after="200" w:before="400"/>
      </w:pPr>
      <w:r>
        <w:rPr>
          <w:b/>
          <w:bCs/>
          <w:color w:val="1B3A5C"/>
          <w:sz w:val="30"/>
          <w:szCs w:val="30"/>
        </w:rPr>
        <w:t xml:space="preserve">2. Lastenheft – Anforderungen des Auftraggebers</w:t>
      </w:r>
    </w:p>
    <w:p>
      <w:pPr>
        <w:pStyle w:val="Heading2"/>
        <w:spacing w:after="150" w:before="300"/>
      </w:pPr>
      <w:r>
        <w:rPr>
          <w:b/>
          <w:bCs/>
          <w:color w:val="1B3A5C"/>
          <w:sz w:val="25"/>
          <w:szCs w:val="25"/>
        </w:rPr>
        <w:t xml:space="preserve">2.1 Ausgangssituation und Motivation</w:t>
      </w:r>
    </w:p>
    <w:p>
      <w:pPr>
        <w:spacing w:after="160" w:line="276"/>
      </w:pPr>
      <w:r>
        <w:rPr>
          <w:rFonts w:ascii="Calibri" w:cs="Calibri" w:eastAsia="Calibri" w:hAnsi="Calibri"/>
          <w:sz w:val="21"/>
          <w:szCs w:val="21"/>
        </w:rPr>
        <w:t xml:space="preserve">Der Nachweis, dass ein Dokument (Vertrag, Kunstwerk, Idee, Foto, Quellcode, Gutachten etc.) zu einem bestimmten Zeitpunkt in einer bestimmten Fassung existierte, ist in vielen Bereichen relevant – von Urheberrechtsstreitigkeiten über Vertragswesen bis zu Compliance-Nachweisen. Klassische Lösungen (E-Mail an sich selbst, notarielle Hinterlegung, zentrale Zeitstempeldienste) sind entweder rechtlich schwach, teuer/langsam oder erfordern Vertrauen in eine zentrale Instanz. Eine Verankerung auf einer öffentlichen, dezentralen BlockDAG wie Kaspa bietet einen manipulationssicheren, jederzeit unabhängig überprüfbaren und kostengünstigen Alternativansatz.</w:t>
      </w:r>
    </w:p>
    <w:p>
      <w:pPr>
        <w:pStyle w:val="Heading2"/>
        <w:spacing w:after="150" w:before="300"/>
      </w:pPr>
      <w:r>
        <w:rPr>
          <w:b/>
          <w:bCs/>
          <w:color w:val="1B3A5C"/>
          <w:sz w:val="25"/>
          <w:szCs w:val="25"/>
        </w:rPr>
        <w:t xml:space="preserve">2.2 Zielsetzung</w:t>
      </w:r>
    </w:p>
    <w:p>
      <w:pPr>
        <w:pStyle w:val="ListParagraph"/>
        <w:numPr>
          <w:ilvl w:val="0"/>
          <w:numId w:val="2"/>
        </w:numPr>
        <w:spacing w:after="80"/>
      </w:pPr>
      <w:r>
        <w:rPr>
          <w:rFonts w:ascii="Calibri" w:cs="Calibri" w:eastAsia="Calibri" w:hAnsi="Calibri"/>
          <w:sz w:val="21"/>
          <w:szCs w:val="21"/>
        </w:rPr>
        <w:t xml:space="preserve">Nutzer können PDF-Dokumente hochladen und einen fälschungssicheren, öffentlich überprüfbaren Zeitstempel-Nachweis erhalten.</w:t>
      </w:r>
    </w:p>
    <w:p>
      <w:pPr>
        <w:pStyle w:val="ListParagraph"/>
        <w:numPr>
          <w:ilvl w:val="0"/>
          <w:numId w:val="2"/>
        </w:numPr>
        <w:spacing w:after="80"/>
      </w:pPr>
      <w:r>
        <w:rPr>
          <w:rFonts w:ascii="Calibri" w:cs="Calibri" w:eastAsia="Calibri" w:hAnsi="Calibri"/>
          <w:sz w:val="21"/>
          <w:szCs w:val="21"/>
        </w:rPr>
        <w:t xml:space="preserve">Der Dokumenteninhalt selbst bleibt vertraulich – es wird ausschließlich der Hashwert verankert, niemals das Dokument selbst.</w:t>
      </w:r>
    </w:p>
    <w:p>
      <w:pPr>
        <w:pStyle w:val="ListParagraph"/>
        <w:numPr>
          <w:ilvl w:val="0"/>
          <w:numId w:val="2"/>
        </w:numPr>
        <w:spacing w:after="80"/>
      </w:pPr>
      <w:r>
        <w:rPr>
          <w:rFonts w:ascii="Calibri" w:cs="Calibri" w:eastAsia="Calibri" w:hAnsi="Calibri"/>
          <w:sz w:val="21"/>
          <w:szCs w:val="21"/>
        </w:rPr>
        <w:t xml:space="preserve">Die Verifizierung eines Dokuments soll durch jede beliebige Person, auch ohne KaspaNotar-Account, nachvollziehbar sein.</w:t>
      </w:r>
    </w:p>
    <w:p>
      <w:pPr>
        <w:pStyle w:val="ListParagraph"/>
        <w:numPr>
          <w:ilvl w:val="0"/>
          <w:numId w:val="2"/>
        </w:numPr>
        <w:spacing w:after="80"/>
      </w:pPr>
      <w:r>
        <w:rPr>
          <w:rFonts w:ascii="Calibri" w:cs="Calibri" w:eastAsia="Calibri" w:hAnsi="Calibri"/>
          <w:sz w:val="21"/>
          <w:szCs w:val="21"/>
        </w:rPr>
        <w:t xml:space="preserve">Die Kosten pro Verankerung sollen durch die niedrigen Kaspa-Netzwerkgebühren minimal bleiben.</w:t>
      </w:r>
    </w:p>
    <w:p>
      <w:pPr>
        <w:pStyle w:val="ListParagraph"/>
        <w:numPr>
          <w:ilvl w:val="0"/>
          <w:numId w:val="2"/>
        </w:numPr>
        <w:spacing w:after="80"/>
      </w:pPr>
      <w:r>
        <w:rPr>
          <w:rFonts w:ascii="Calibri" w:cs="Calibri" w:eastAsia="Calibri" w:hAnsi="Calibri"/>
          <w:sz w:val="21"/>
          <w:szCs w:val="21"/>
        </w:rPr>
        <w:t xml:space="preserve">Ein professionell gestaltetes, herunterladbares Zertifikat (PDF mit QR-Code) dient als Nachweisdokument.</w:t>
      </w:r>
    </w:p>
    <w:p>
      <w:pPr>
        <w:pStyle w:val="Heading2"/>
        <w:spacing w:after="150" w:before="300"/>
      </w:pPr>
      <w:r>
        <w:rPr>
          <w:b/>
          <w:bCs/>
          <w:color w:val="1B3A5C"/>
          <w:sz w:val="25"/>
          <w:szCs w:val="25"/>
        </w:rPr>
        <w:t xml:space="preserve">2.3 Zielgruppen / Stakeholder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Zielgruppe</w:t>
            </w:r>
          </w:p>
        </w:tc>
        <w:tc>
          <w:tcPr>
            <w:tcW w:type="dxa" w:w="63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Nutzungsszenario</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Freiberufler / Kreative</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Nachweis der Urheberschaft an Entwürfen, Texten, Designs, Musik vor Veröffentlichung</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Unternehmen (KMU)</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Versionsnachweis von Angeboten, Verträgen, internen Richtlinien, NDA-Ständen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Software-Entwickler</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Zeitstempelung von Source-Code-Ständen, Whitepapers, Audit-Reports</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Privatpersonen</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Nachweis von Testamenten-Entwürfen, Ideen, Erfindungen (kein Ersatz für notarielle Form)</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Auditoren / Gutachter</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Nachweisbare, unveränderliche Fassung eines Prüfberichts zu einem Stichtag</w:t>
            </w:r>
          </w:p>
        </w:tc>
      </w:tr>
    </w:tbl>
    <w:p>
      <w:pPr>
        <w:pStyle w:val="Heading3"/>
        <w:spacing w:after="100" w:before="200"/>
      </w:pPr>
      <w:r>
        <w:rPr>
          <w:b/>
          <w:bCs/>
          <w:color w:val="333333"/>
          <w:sz w:val="22"/>
          <w:szCs w:val="22"/>
        </w:rPr>
        <w:t xml:space="preserve">Konkrete Anwendungsfälle – Unternehmen / Selbstständige</w:t>
      </w:r>
    </w:p>
    <w:p>
      <w:pPr>
        <w:pStyle w:val="ListParagraph"/>
        <w:numPr>
          <w:ilvl w:val="0"/>
          <w:numId w:val="2"/>
        </w:numPr>
        <w:spacing w:after="80"/>
      </w:pPr>
      <w:r>
        <w:rPr>
          <w:rFonts w:ascii="Calibri" w:cs="Calibri" w:eastAsia="Calibri" w:hAnsi="Calibri"/>
          <w:sz w:val="21"/>
          <w:szCs w:val="21"/>
        </w:rPr>
        <w:t xml:space="preserve">Angebots- und Vertragsversionen: Nachweis, welche exakte Fassung eines Angebots zu welchem Zeitpunkt an den Kunden verschickt wurde, falls später über den Stand gestritten wird.</w:t>
      </w:r>
    </w:p>
    <w:p>
      <w:pPr>
        <w:pStyle w:val="ListParagraph"/>
        <w:numPr>
          <w:ilvl w:val="0"/>
          <w:numId w:val="2"/>
        </w:numPr>
        <w:spacing w:after="80"/>
      </w:pPr>
      <w:r>
        <w:rPr>
          <w:rFonts w:ascii="Calibri" w:cs="Calibri" w:eastAsia="Calibri" w:hAnsi="Calibri"/>
          <w:sz w:val="21"/>
          <w:szCs w:val="21"/>
        </w:rPr>
        <w:t xml:space="preserve">NDA-Nachweis vor Verhandlungen: Verankerung des NDA-Dokuments vor Investoren- oder Partnergesprächen, um dessen genauen Inhalt zum Zeitpunkt der Vereinbarung zu belegen.</w:t>
      </w:r>
    </w:p>
    <w:p>
      <w:pPr>
        <w:pStyle w:val="ListParagraph"/>
        <w:numPr>
          <w:ilvl w:val="0"/>
          <w:numId w:val="2"/>
        </w:numPr>
        <w:spacing w:after="80"/>
      </w:pPr>
      <w:r>
        <w:rPr>
          <w:rFonts w:ascii="Calibri" w:cs="Calibri" w:eastAsia="Calibri" w:hAnsi="Calibri"/>
          <w:sz w:val="21"/>
          <w:szCs w:val="21"/>
        </w:rPr>
        <w:t xml:space="preserve">Interne Compliance- und Richtlinien-Stände: Jede Aktualisierung einer Datenschutzrichtlinie oder Arbeitsanweisung wird verankert, sodass im Audit oder Rechtsstreit nachweisbar ist, welche Fassung zu welchem Zeitpunkt galt.</w:t>
      </w:r>
    </w:p>
    <w:p>
      <w:pPr>
        <w:pStyle w:val="ListParagraph"/>
        <w:numPr>
          <w:ilvl w:val="0"/>
          <w:numId w:val="2"/>
        </w:numPr>
        <w:spacing w:after="80"/>
      </w:pPr>
      <w:r>
        <w:rPr>
          <w:rFonts w:ascii="Calibri" w:cs="Calibri" w:eastAsia="Calibri" w:hAnsi="Calibri"/>
          <w:sz w:val="21"/>
          <w:szCs w:val="21"/>
        </w:rPr>
        <w:t xml:space="preserve">Gutachten und Prüfberichte: Ein Prüfbericht (z. B. zu einem Druckbehälter) wird zum Abnahmezeitpunkt verankert, um nachträgliche Manipulationsvorwürfe im Schadensfall auszuschließen.</w:t>
      </w:r>
    </w:p>
    <w:p>
      <w:pPr>
        <w:pStyle w:val="ListParagraph"/>
        <w:numPr>
          <w:ilvl w:val="0"/>
          <w:numId w:val="2"/>
        </w:numPr>
        <w:spacing w:after="80"/>
      </w:pPr>
      <w:r>
        <w:rPr>
          <w:rFonts w:ascii="Calibri" w:cs="Calibri" w:eastAsia="Calibri" w:hAnsi="Calibri"/>
          <w:sz w:val="21"/>
          <w:szCs w:val="21"/>
        </w:rPr>
        <w:t xml:space="preserve">Ausschreibungen/Bewerbungen: Beleg des exakten Einreichungszeitpunkts eines Angebots bei Vergabeverfahren, unabhängig vom E-Mail-Server.</w:t>
      </w:r>
    </w:p>
    <w:p>
      <w:pPr>
        <w:pStyle w:val="ListParagraph"/>
        <w:numPr>
          <w:ilvl w:val="0"/>
          <w:numId w:val="2"/>
        </w:numPr>
        <w:spacing w:after="80"/>
      </w:pPr>
      <w:r>
        <w:rPr>
          <w:rFonts w:ascii="Calibri" w:cs="Calibri" w:eastAsia="Calibri" w:hAnsi="Calibri"/>
          <w:sz w:val="21"/>
          <w:szCs w:val="21"/>
        </w:rPr>
        <w:t xml:space="preserve">Software-Auslieferungsstände: Verankerung des Hash eines Auslieferungsstands (Software, Whitepaper), um später zu belegen, was genau übergeben wurde.</w:t>
      </w:r>
    </w:p>
    <w:p>
      <w:pPr>
        <w:pStyle w:val="Heading3"/>
        <w:spacing w:after="100" w:before="200"/>
      </w:pPr>
      <w:r>
        <w:rPr>
          <w:b/>
          <w:bCs/>
          <w:color w:val="333333"/>
          <w:sz w:val="22"/>
          <w:szCs w:val="22"/>
        </w:rPr>
        <w:t xml:space="preserve">Konkrete Anwendungsfälle – Privatpersonen</w:t>
      </w:r>
    </w:p>
    <w:p>
      <w:pPr>
        <w:pStyle w:val="ListParagraph"/>
        <w:numPr>
          <w:ilvl w:val="0"/>
          <w:numId w:val="2"/>
        </w:numPr>
        <w:spacing w:after="80"/>
      </w:pPr>
      <w:r>
        <w:rPr>
          <w:rFonts w:ascii="Calibri" w:cs="Calibri" w:eastAsia="Calibri" w:hAnsi="Calibri"/>
          <w:sz w:val="21"/>
          <w:szCs w:val="21"/>
        </w:rPr>
        <w:t xml:space="preserve">Kreative Werke vor Veröffentlichung: Nachweis der Urheberschaft an Songs, Fotos oder Manuskripten zu einem bestimmten Zeitpunkt, bevor sie veröffentlicht oder gepitcht werden.</w:t>
      </w:r>
    </w:p>
    <w:p>
      <w:pPr>
        <w:pStyle w:val="ListParagraph"/>
        <w:numPr>
          <w:ilvl w:val="0"/>
          <w:numId w:val="2"/>
        </w:numPr>
        <w:spacing w:after="80"/>
      </w:pPr>
      <w:r>
        <w:rPr>
          <w:rFonts w:ascii="Calibri" w:cs="Calibri" w:eastAsia="Calibri" w:hAnsi="Calibri"/>
          <w:sz w:val="21"/>
          <w:szCs w:val="21"/>
        </w:rPr>
        <w:t xml:space="preserve">Erfindungsideen/Konzeptpapiere: Beleg, dass eine Geschäftsidee oder technische Lösung bereits vor einem Gespräch mit potenziellen Partnern existierte (kein Patentersatz, aber ein Indiz).</w:t>
      </w:r>
    </w:p>
    <w:p>
      <w:pPr>
        <w:pStyle w:val="ListParagraph"/>
        <w:numPr>
          <w:ilvl w:val="0"/>
          <w:numId w:val="2"/>
        </w:numPr>
        <w:spacing w:after="80"/>
      </w:pPr>
      <w:r>
        <w:rPr>
          <w:rFonts w:ascii="Calibri" w:cs="Calibri" w:eastAsia="Calibri" w:hAnsi="Calibri"/>
          <w:sz w:val="21"/>
          <w:szCs w:val="21"/>
        </w:rPr>
        <w:t xml:space="preserve">Testament- oder Vollmacht-Entwürfe: Zeitstempelung eines Entwurfs vor dem Gang zum Notar, als Ergänzung – nicht Ersatz – der notariellen Form.</w:t>
      </w:r>
    </w:p>
    <w:p>
      <w:pPr>
        <w:pStyle w:val="ListParagraph"/>
        <w:numPr>
          <w:ilvl w:val="0"/>
          <w:numId w:val="2"/>
        </w:numPr>
        <w:spacing w:after="80"/>
      </w:pPr>
      <w:r>
        <w:rPr>
          <w:rFonts w:ascii="Calibri" w:cs="Calibri" w:eastAsia="Calibri" w:hAnsi="Calibri"/>
          <w:sz w:val="21"/>
          <w:szCs w:val="21"/>
        </w:rPr>
        <w:t xml:space="preserve">Mietverträge/Übergabeprotokolle unter Privatpersonen: Dokumentation des Zustands bzw. Vertragsinhalts bei Wohnungsübergaben ohne Notar oder Anwalt.</w:t>
      </w:r>
    </w:p>
    <w:p>
      <w:pPr>
        <w:pStyle w:val="ListParagraph"/>
        <w:numPr>
          <w:ilvl w:val="0"/>
          <w:numId w:val="2"/>
        </w:numPr>
        <w:spacing w:after="80"/>
      </w:pPr>
      <w:r>
        <w:rPr>
          <w:rFonts w:ascii="Calibri" w:cs="Calibri" w:eastAsia="Calibri" w:hAnsi="Calibri"/>
          <w:sz w:val="21"/>
          <w:szCs w:val="21"/>
        </w:rPr>
        <w:t xml:space="preserve">Vereinbarungen zwischen Freunden/Familie: Zeitliche Verankerung informeller Abmachungen (z. B. Darlehen, Beteiligungen) ohne sofortige Einschaltung eines Anwalts.</w:t>
      </w:r>
    </w:p>
    <w:p>
      <w:pPr>
        <w:pStyle w:val="ListParagraph"/>
        <w:numPr>
          <w:ilvl w:val="0"/>
          <w:numId w:val="2"/>
        </w:numPr>
        <w:spacing w:after="80"/>
      </w:pPr>
      <w:r>
        <w:rPr>
          <w:rFonts w:ascii="Calibri" w:cs="Calibri" w:eastAsia="Calibri" w:hAnsi="Calibri"/>
          <w:sz w:val="21"/>
          <w:szCs w:val="21"/>
        </w:rPr>
        <w:t xml:space="preserve">Persönliche Zeitkapsel: Unveränderlicher Zeitstempel für private Aufzeichnungen oder Briefe an das zukünftige Ich.</w:t>
      </w:r>
    </w:p>
    <w:p>
      <w:pPr>
        <w:pStyle w:val="Heading2"/>
        <w:spacing w:after="150" w:before="300"/>
      </w:pPr>
      <w:r>
        <w:rPr>
          <w:b/>
          <w:bCs/>
          <w:color w:val="1B3A5C"/>
          <w:sz w:val="25"/>
          <w:szCs w:val="25"/>
        </w:rPr>
        <w:t xml:space="preserve">2.4 Grundprinzip (Kernfunktion)</w:t>
      </w:r>
    </w:p>
    <w:p>
      <w:pPr>
        <w:spacing w:after="160" w:line="276"/>
      </w:pPr>
      <w:r>
        <w:rPr>
          <w:rFonts w:ascii="Calibri" w:cs="Calibri" w:eastAsia="Calibri" w:hAnsi="Calibri"/>
          <w:sz w:val="21"/>
          <w:szCs w:val="21"/>
        </w:rPr>
        <w:t xml:space="preserve">Der zentrale Ablauf aus Nutzersicht:</w:t>
      </w:r>
    </w:p>
    <w:p>
      <w:pPr>
        <w:pStyle w:val="ListParagraph"/>
        <w:numPr>
          <w:ilvl w:val="0"/>
          <w:numId w:val="2"/>
        </w:numPr>
        <w:spacing w:after="80"/>
      </w:pPr>
      <w:r>
        <w:rPr>
          <w:rFonts w:ascii="Calibri" w:cs="Calibri" w:eastAsia="Calibri" w:hAnsi="Calibri"/>
          <w:sz w:val="21"/>
          <w:szCs w:val="21"/>
        </w:rPr>
        <w:t xml:space="preserve">1. Nutzer lädt ein PDF hoch (per Drag &amp; Drop in Web-App oder mobiler App).</w:t>
      </w:r>
    </w:p>
    <w:p>
      <w:pPr>
        <w:pStyle w:val="ListParagraph"/>
        <w:numPr>
          <w:ilvl w:val="0"/>
          <w:numId w:val="2"/>
        </w:numPr>
        <w:spacing w:after="80"/>
      </w:pPr>
      <w:r>
        <w:rPr>
          <w:rFonts w:ascii="Calibri" w:cs="Calibri" w:eastAsia="Calibri" w:hAnsi="Calibri"/>
          <w:sz w:val="21"/>
          <w:szCs w:val="21"/>
        </w:rPr>
        <w:t xml:space="preserve">2. Aus dem PDF wird im Browser/Client lokal ein SHA-256-Hash berechnet.</w:t>
      </w:r>
    </w:p>
    <w:p>
      <w:pPr>
        <w:pStyle w:val="ListParagraph"/>
        <w:numPr>
          <w:ilvl w:val="0"/>
          <w:numId w:val="2"/>
        </w:numPr>
        <w:spacing w:after="80"/>
      </w:pPr>
      <w:r>
        <w:rPr>
          <w:rFonts w:ascii="Calibri" w:cs="Calibri" w:eastAsia="Calibri" w:hAnsi="Calibri"/>
          <w:sz w:val="21"/>
          <w:szCs w:val="21"/>
        </w:rPr>
        <w:t xml:space="preserve">3. Der Hash (nicht das Dokument) wird in einer Kaspa-Transaktion verankert.</w:t>
      </w:r>
    </w:p>
    <w:p>
      <w:pPr>
        <w:pStyle w:val="ListParagraph"/>
        <w:numPr>
          <w:ilvl w:val="0"/>
          <w:numId w:val="2"/>
        </w:numPr>
        <w:spacing w:after="80"/>
      </w:pPr>
      <w:r>
        <w:rPr>
          <w:rFonts w:ascii="Calibri" w:cs="Calibri" w:eastAsia="Calibri" w:hAnsi="Calibri"/>
          <w:sz w:val="21"/>
          <w:szCs w:val="21"/>
        </w:rPr>
        <w:t xml:space="preserve">4. Nutzer erhält Transaktions-ID, Blockzeit und ein herunterladbares PDF-Zertifikat mit QR-Code.</w:t>
      </w:r>
    </w:p>
    <w:p>
      <w:pPr>
        <w:pStyle w:val="ListParagraph"/>
        <w:numPr>
          <w:ilvl w:val="0"/>
          <w:numId w:val="2"/>
        </w:numPr>
        <w:spacing w:after="80"/>
      </w:pPr>
      <w:r>
        <w:rPr>
          <w:rFonts w:ascii="Calibri" w:cs="Calibri" w:eastAsia="Calibri" w:hAnsi="Calibri"/>
          <w:sz w:val="21"/>
          <w:szCs w:val="21"/>
        </w:rPr>
        <w:t xml:space="preserve">5. Jede Person kann später dasselbe PDF erneut hochladen (oder den Hash manuell eingeben), um zu verifizieren, dass der Hash zu einem bestimmten Zeitpunkt auf der Kaspa BlockDAG verankert wurde.</w:t>
      </w:r>
    </w:p>
    <w:p>
      <w:pPr>
        <w:pStyle w:val="Heading2"/>
        <w:spacing w:after="150" w:before="300"/>
      </w:pPr>
      <w:r>
        <w:rPr>
          <w:b/>
          <w:bCs/>
          <w:color w:val="1B3A5C"/>
          <w:sz w:val="25"/>
          <w:szCs w:val="25"/>
        </w:rPr>
        <w:t xml:space="preserve">2.5 Funktionale Anforderungen</w:t>
      </w:r>
    </w:p>
    <w:p>
      <w:pPr>
        <w:spacing w:after="160" w:line="276"/>
      </w:pPr>
      <w:r>
        <w:rPr>
          <w:rFonts w:ascii="Calibri" w:cs="Calibri" w:eastAsia="Calibri" w:hAnsi="Calibri"/>
          <w:sz w:val="21"/>
          <w:szCs w:val="21"/>
        </w:rPr>
        <w:t xml:space="preserve">Priorisierung nach MoSCoW-Methode: Muss (zwingend für MVP), Soll (wichtig, aber verschiebbar), Kann (optional / spätere Ausbaustufe).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100"/>
        <w:gridCol w:w="6900"/>
        <w:gridCol w:w="1500"/>
      </w:tblGrid>
      <w:tr>
        <w:trPr>
          <w:tblHeader/>
        </w:trPr>
        <w:tc>
          <w:tcPr>
            <w:tcW w:type="dxa" w:w="11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ID</w:t>
            </w:r>
          </w:p>
        </w:tc>
        <w:tc>
          <w:tcPr>
            <w:tcW w:type="dxa" w:w="69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Anforderung</w:t>
            </w:r>
          </w:p>
        </w:tc>
        <w:tc>
          <w:tcPr>
            <w:tcW w:type="dxa" w:w="15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Priorität</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F-01</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PDF-Upload per Drag &amp; Drop sowie Dateiauswahl (Web und App)</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Muss</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F-02</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Client-seitige Hash-Berechnung (SHA-256) ohne Upload des Dokumentinhalts an den Server</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Muss</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F-03</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Verankerung des Hashwerts in einer Kaspa-Transaktion (Payload/Envelope)</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Muss</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F-04</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Anzeige von Transaktions-ID, Zeitpunkt und Bestätigungsstatus (Confirmations)</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Muss</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F-05</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Erstellung eines herunterladbaren PDF-Zertifikats mit QR-Code zur Verifizierung</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Muss</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F-06</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Verifizierungsfunktion: PDF erneut hochladen → Abgleich mit BlockDAG-Eintrag</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Muss</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F-07</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Manuelle Verifizierung durch Eingabe von Hash oder Transaktions-ID (ohne Upload)</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Muss</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F-08</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Nutzerkonto mit Verlauf aller eigenen Verankerungen (Dashboard)</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Soll</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F-09</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Anbindung externer Kaspa-Wallets (z. B. Kasware, KSPR) statt eigener Wallet-Verwaltung</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Soll</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F-10</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Mehrsprachigkeit der Oberfläche (Deutsch/Englisch)</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Soll</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F-11</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Batch-Verankerung mehrerer Dokumente in einer einzigen Transaktion (Merkle-Baum)</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Soll</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F-12</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Öffentliche Verifizierungs-API für Drittsysteme (REST)</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Kann</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F-13</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E-Mail-Benachrichtigung bei erfolgreicher Bestätigung der Transaktion</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Kann</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F-14</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Unterstützung weiterer Dateiformate über PDF hinaus (Bilder, ZIP, DOCX)</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Kann</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F-15</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Team-/Organisationskonten mit mehreren Nutzern und Rollen</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Kann</w:t>
            </w:r>
          </w:p>
        </w:tc>
      </w:tr>
      <w:tr>
        <w:tc>
          <w:tcPr>
            <w:tcW w:type="dxa" w:w="1100"/>
            <w:tcMar>
              <w:top w:type="dxa" w:w="80"/>
              <w:left w:type="dxa" w:w="100"/>
              <w:bottom w:type="dxa" w:w="80"/>
              <w:right w:type="dxa" w:w="100"/>
            </w:tcMar>
          </w:tcPr>
          <w:p>
            <w:r>
              <w:rPr>
                <w:rFonts w:ascii="Calibri" w:cs="Calibri" w:eastAsia="Calibri" w:hAnsi="Calibri"/>
                <w:b w:val="false"/>
                <w:bCs w:val="false"/>
                <w:color w:val="000000"/>
                <w:sz w:val="20"/>
                <w:szCs w:val="20"/>
              </w:rPr>
              <w:t xml:space="preserve">F-16</w:t>
            </w:r>
          </w:p>
        </w:tc>
        <w:tc>
          <w:tcPr>
            <w:tcW w:type="dxa" w:w="6900"/>
            <w:tcMar>
              <w:top w:type="dxa" w:w="80"/>
              <w:left w:type="dxa" w:w="100"/>
              <w:bottom w:type="dxa" w:w="80"/>
              <w:right w:type="dxa" w:w="100"/>
            </w:tcMar>
          </w:tcPr>
          <w:p>
            <w:r>
              <w:rPr>
                <w:rFonts w:ascii="Calibri" w:cs="Calibri" w:eastAsia="Calibri" w:hAnsi="Calibri"/>
                <w:b w:val="false"/>
                <w:bCs w:val="false"/>
                <w:color w:val="000000"/>
                <w:sz w:val="20"/>
                <w:szCs w:val="20"/>
              </w:rPr>
              <w:t xml:space="preserve">Optionales „Verified“-Tier mit eID-/Video-Ident-Verifizierung zur Identitätsbindung (siehe 2.6)</w:t>
            </w:r>
          </w:p>
        </w:tc>
        <w:tc>
          <w:tcPr>
            <w:tcW w:type="dxa" w:w="1500"/>
            <w:tcMar>
              <w:top w:type="dxa" w:w="80"/>
              <w:left w:type="dxa" w:w="100"/>
              <w:bottom w:type="dxa" w:w="80"/>
              <w:right w:type="dxa" w:w="100"/>
            </w:tcMar>
          </w:tcPr>
          <w:p>
            <w:r>
              <w:rPr>
                <w:rFonts w:ascii="Calibri" w:cs="Calibri" w:eastAsia="Calibri" w:hAnsi="Calibri"/>
                <w:b w:val="false"/>
                <w:bCs w:val="false"/>
                <w:color w:val="000000"/>
                <w:sz w:val="20"/>
                <w:szCs w:val="20"/>
              </w:rPr>
              <w:t xml:space="preserve">Soll</w:t>
            </w:r>
          </w:p>
        </w:tc>
      </w:tr>
    </w:tbl>
    <w:p>
      <w:pPr>
        <w:pStyle w:val="Heading2"/>
        <w:spacing w:after="150" w:before="300"/>
      </w:pPr>
      <w:r>
        <w:rPr>
          <w:b/>
          <w:bCs/>
          <w:color w:val="1B3A5C"/>
          <w:sz w:val="25"/>
          <w:szCs w:val="25"/>
        </w:rPr>
        <w:t xml:space="preserve">2.6 Identitätsbindung und Verifizierung im Streitfall</w:t>
      </w:r>
    </w:p>
    <w:p>
      <w:pPr>
        <w:spacing w:after="160" w:line="276"/>
      </w:pPr>
      <w:r>
        <w:rPr>
          <w:rFonts w:ascii="Calibri" w:cs="Calibri" w:eastAsia="Calibri" w:hAnsi="Calibri"/>
          <w:sz w:val="21"/>
          <w:szCs w:val="21"/>
        </w:rPr>
        <w:t xml:space="preserve">Die Verankerung auf der Kaspa BlockDAG beweist ausschließlich, dass ein bestimmter Hashwert zu einem bestimmten Zeitpunkt von einer bestimmten Adresse aus verankert wurde. Sie beweist nicht automatisch, welche reale Person hinter dieser Adresse steht. Für Streitfälle, in denen es auf die Zuordnung zu einer konkreten Person ankommt (z. B. Urheberschaftsstreit, Vertragsstreit), ist daher eine zusätzliche Identitätsbindung erforderlich. Diese wird als gestuftes, optionales Modell angeboten, damit einfache Anwendungsfälle kostenlos und ohne Hürden bleiben.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500"/>
      </w:tblGrid>
      <w:tr>
        <w:trPr>
          <w:tblHeader/>
        </w:trPr>
        <w:tc>
          <w:tcPr>
            <w:tcW w:type="dxa" w:w="24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Stufe</w:t>
            </w:r>
          </w:p>
        </w:tc>
        <w:tc>
          <w:tcPr>
            <w:tcW w:type="dxa" w:w="42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Beschreibung</w:t>
            </w:r>
          </w:p>
        </w:tc>
        <w:tc>
          <w:tcPr>
            <w:tcW w:type="dxa" w:w="35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Beweiswert im Streitfall</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Stufe 0 – Pseudonym</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Verankerung ohne Konto, nur über eine Wallet-Adresse</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Gering: belegt nur Existenz des Hashs, keine Personenzuordnung</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Stufe 1 – Konto mit Wallet-Signatur</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Nutzer signiert beim Login eine Challenge-Nachricht („Sign-in with Wallet“); Konto dauerhaft mit E-Mail und Adresse verknüpft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Mittel: belegt Kontrolle über die Adresse zum Zeitpunkt der Anmeldung, aber keine geprüfte Realidentität</w:t>
            </w:r>
          </w:p>
        </w:tc>
      </w:tr>
      <w:tr>
        <w:tc>
          <w:tcPr>
            <w:tcW w:type="dxa" w:w="2400"/>
            <w:tcMar>
              <w:top w:type="dxa" w:w="80"/>
              <w:left w:type="dxa" w:w="100"/>
              <w:bottom w:type="dxa" w:w="80"/>
              <w:right w:type="dxa" w:w="100"/>
            </w:tcMar>
          </w:tcPr>
          <w:p>
            <w:r>
              <w:rPr>
                <w:rFonts w:ascii="Calibri" w:cs="Calibri" w:eastAsia="Calibri" w:hAnsi="Calibri"/>
                <w:b w:val="false"/>
                <w:bCs w:val="false"/>
                <w:color w:val="000000"/>
                <w:sz w:val="20"/>
                <w:szCs w:val="20"/>
              </w:rPr>
              <w:t xml:space="preserve">Stufe 2 – eID-verifiziert</w:t>
            </w:r>
          </w:p>
        </w:tc>
        <w:tc>
          <w:tcPr>
            <w:tcW w:type="dxa" w:w="4200"/>
            <w:tcMar>
              <w:top w:type="dxa" w:w="80"/>
              <w:left w:type="dxa" w:w="100"/>
              <w:bottom w:type="dxa" w:w="80"/>
              <w:right w:type="dxa" w:w="100"/>
            </w:tcMar>
          </w:tcPr>
          <w:p>
            <w:r>
              <w:rPr>
                <w:rFonts w:ascii="Calibri" w:cs="Calibri" w:eastAsia="Calibri" w:hAnsi="Calibri"/>
                <w:b w:val="false"/>
                <w:bCs w:val="false"/>
                <w:color w:val="000000"/>
                <w:sz w:val="20"/>
                <w:szCs w:val="20"/>
              </w:rPr>
              <w:t xml:space="preserve">Zusätzliche Identitätsprüfung z. B. über Online-Ausweisfunktion (AusweisApp2) oder Video-Ident-Verfahren; Ergebnis wird mit Konto/Adresse verknüpft</w:t>
            </w:r>
          </w:p>
        </w:tc>
        <w:tc>
          <w:tcPr>
            <w:tcW w:type="dxa" w:w="3500"/>
            <w:tcMar>
              <w:top w:type="dxa" w:w="80"/>
              <w:left w:type="dxa" w:w="100"/>
              <w:bottom w:type="dxa" w:w="80"/>
              <w:right w:type="dxa" w:w="100"/>
            </w:tcMar>
          </w:tcPr>
          <w:p>
            <w:r>
              <w:rPr>
                <w:rFonts w:ascii="Calibri" w:cs="Calibri" w:eastAsia="Calibri" w:hAnsi="Calibri"/>
                <w:b w:val="false"/>
                <w:bCs w:val="false"/>
                <w:color w:val="000000"/>
                <w:sz w:val="20"/>
                <w:szCs w:val="20"/>
              </w:rPr>
              <w:t xml:space="preserve">Hoch: lückenlose Kette Person → Konto/Adresse → Hash → Zeitpunkt</w:t>
            </w:r>
          </w:p>
        </w:tc>
      </w:tr>
    </w:tbl>
    <w:p>
      <w:pPr>
        <w:spacing w:after="160" w:line="276"/>
      </w:pPr>
      <w:r>
        <w:rPr>
          <w:rFonts w:ascii="Calibri" w:cs="Calibri" w:eastAsia="Calibri" w:hAnsi="Calibri"/>
          <w:sz w:val="21"/>
          <w:szCs w:val="21"/>
        </w:rPr>
        <w:t xml:space="preserve">Empfehlung: Stufe 2 wird als kostenpflichtiges „Verified“-Tier angeboten und ist nur für Anwendungsfälle mit echtem Streitpotenzial (z. B. Auftragsarbeiten, Verträge) sinnvoll. Die technische Umsetzung ist in Kapitel 3.9 beschrieben.</w:t>
      </w:r>
    </w:p>
    <w:p>
      <w:pPr>
        <w:pBdr>
          <w:top w:val="single" w:color="E0B84C" w:sz="4" w:space="6"/>
          <w:bottom w:val="single" w:color="E0B84C" w:sz="4" w:space="6"/>
          <w:left w:val="single" w:color="E0B84C" w:sz="12" w:space="6"/>
          <w:right w:val="single" w:color="E0B84C" w:sz="4" w:space="6"/>
        </w:pBdr>
        <w:shd w:fill="FFF4D6" w:val="clear"/>
        <w:spacing w:after="200" w:before="120"/>
      </w:pPr>
      <w:r>
        <w:rPr>
          <w:rFonts w:ascii="Calibri" w:cs="Calibri" w:eastAsia="Calibri" w:hAnsi="Calibri"/>
          <w:i/>
          <w:iCs/>
          <w:sz w:val="20"/>
          <w:szCs w:val="20"/>
        </w:rPr>
        <w:t xml:space="preserve">Hinweis: Ob und in welchem Umfang eine solche Identitätsbindung vor Gericht tatsächlich als Beweismittel anerkannt wird, hängt vom Einzelfall und Gerichtsstand ab und ist keine Rechtsberatung. Vor Markteinführung des Verified-Tiers sollte dies mit einem auf IT-/Beweisrecht spezialisierten Anwalt geprüft werden – insbesondere im Hinblick auf eine mögliche eIDAS-Einordnung.</w:t>
      </w:r>
    </w:p>
    <w:p>
      <w:pPr>
        <w:pStyle w:val="Heading2"/>
        <w:spacing w:after="150" w:before="300"/>
      </w:pPr>
      <w:r>
        <w:rPr>
          <w:b/>
          <w:bCs/>
          <w:color w:val="1B3A5C"/>
          <w:sz w:val="25"/>
          <w:szCs w:val="25"/>
        </w:rPr>
        <w:t xml:space="preserve">2.7 Nicht-funktionale Anforderungen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7500"/>
      </w:tblGrid>
      <w:tr>
        <w:trPr>
          <w:tblHeader/>
        </w:trPr>
        <w:tc>
          <w:tcPr>
            <w:tcW w:type="dxa" w:w="26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Kategorie</w:t>
            </w:r>
          </w:p>
        </w:tc>
        <w:tc>
          <w:tcPr>
            <w:tcW w:type="dxa" w:w="75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Anforderung</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Sicherheit</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Das Originaldokument darf den Client zu keinem Zeitpunkt in Klartext an den Server übertragen; ausschließlich der Hash wird übermittelt.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Datenschutz (DSGVO)</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Es werden keine Dokumentinhalte gespeichert. Falls Metadaten (z. B. Dateiname) gespeichert werden, ist dies optional und muss vom Nutzer aktiv bestätigt werden.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Verfügbarkeit</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Zielwert 99,5 % Verfügbarkeit des Web-Frontends und der Backend-API (Verankerung selbst bleibt via Blockchain-Explorer auch bei Ausfall des Dienstes nachvollziehbar).</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Performance</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Hash-Berechnung eines 20-MB-PDFs unter 2 Sekunden im Browser; Bestätigung der Kaspa-Transaktion in der Regel unter 10 Sekunden.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Skalierbarkeit</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System muss mehrere tausend Verankerungen pro Tag verarbeiten können, u. a. durch Batch-/Merkle-Verankerung.</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Nachvollziehbarkeit</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Jede Verankerung muss unabhängig von KaspaNotar über einen öffentlichen Kaspa-Explorer nachprüfbar sein.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Kosten</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Transaktionsgebühren pro Verankerung sollen im Cent-Bereich oder darunter liegen (Kaspa-typische Niedriggebühren).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Barrierefreiheit</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Bedienbarkeit gemäß WCAG 2.1 AA, responsives Design für Mobilgeräte.</w:t>
            </w:r>
          </w:p>
        </w:tc>
      </w:tr>
    </w:tbl>
    <w:p>
      <w:pPr>
        <w:pStyle w:val="Heading2"/>
        <w:spacing w:after="150" w:before="300"/>
      </w:pPr>
      <w:r>
        <w:rPr>
          <w:b/>
          <w:bCs/>
          <w:color w:val="1B3A5C"/>
          <w:sz w:val="25"/>
          <w:szCs w:val="25"/>
        </w:rPr>
        <w:t xml:space="preserve">2.8 Rahmenbedingungen</w:t>
      </w:r>
    </w:p>
    <w:p>
      <w:pPr>
        <w:pStyle w:val="ListParagraph"/>
        <w:numPr>
          <w:ilvl w:val="0"/>
          <w:numId w:val="2"/>
        </w:numPr>
        <w:spacing w:after="80"/>
      </w:pPr>
      <w:r>
        <w:rPr>
          <w:rFonts w:ascii="Calibri" w:cs="Calibri" w:eastAsia="Calibri" w:hAnsi="Calibri"/>
          <w:sz w:val="21"/>
          <w:szCs w:val="21"/>
        </w:rPr>
        <w:t xml:space="preserve">Rechtlich: Klare Kommunikation, dass es sich um einen technischen Zeitstempel-/Existenznachweis handelt, keine notarielle Beurkundung (siehe 1.3). Empfehlung: AGB und Zertifikatstext juristisch prüfen lassen.</w:t>
      </w:r>
    </w:p>
    <w:p>
      <w:pPr>
        <w:pStyle w:val="ListParagraph"/>
        <w:numPr>
          <w:ilvl w:val="0"/>
          <w:numId w:val="2"/>
        </w:numPr>
        <w:spacing w:after="80"/>
      </w:pPr>
      <w:r>
        <w:rPr>
          <w:rFonts w:ascii="Calibri" w:cs="Calibri" w:eastAsia="Calibri" w:hAnsi="Calibri"/>
          <w:sz w:val="21"/>
          <w:szCs w:val="21"/>
        </w:rPr>
        <w:t xml:space="preserve">Technisch: Kaspa-Netzwerk befindet sich in aktiver Weiterentwicklung (u. a. Toccata-Upgrade mit Covenants); Architektur sollte so gewählt werden, dass künftige Netzwerk-Features (z. B. komplexere Skripte) optional nachgerüstet werden können, ohne dass sie für die Kernfunktion vorausgesetzt werden.</w:t>
      </w:r>
    </w:p>
    <w:p>
      <w:pPr>
        <w:pStyle w:val="ListParagraph"/>
        <w:numPr>
          <w:ilvl w:val="0"/>
          <w:numId w:val="2"/>
        </w:numPr>
        <w:spacing w:after="80"/>
      </w:pPr>
      <w:r>
        <w:rPr>
          <w:rFonts w:ascii="Calibri" w:cs="Calibri" w:eastAsia="Calibri" w:hAnsi="Calibri"/>
          <w:sz w:val="21"/>
          <w:szCs w:val="21"/>
        </w:rPr>
        <w:t xml:space="preserve">Organisatorisch: Wiederverwendung vorhandener Infrastruktur/Erfahrung aus den Projekten KasPay und KaspaEscrow (React/Tailwind-Frontend, Node.js/Express-Backend, PostgreSQL, kaspa-wasm-Anbindung).</w:t>
      </w:r>
    </w:p>
    <w:p>
      <w:pPr>
        <w:pStyle w:val="ListParagraph"/>
        <w:numPr>
          <w:ilvl w:val="0"/>
          <w:numId w:val="2"/>
        </w:numPr>
        <w:spacing w:after="80"/>
      </w:pPr>
      <w:r>
        <w:rPr>
          <w:rFonts w:ascii="Calibri" w:cs="Calibri" w:eastAsia="Calibri" w:hAnsi="Calibri"/>
          <w:sz w:val="21"/>
          <w:szCs w:val="21"/>
        </w:rPr>
        <w:t xml:space="preserve">Budget und Zeitrahmen: aktuell offen – zu ergänzen, sobald Meilensteine (siehe 3.13) mit Aufwandsschätzung hinterlegt sind.</w:t>
      </w:r>
    </w:p>
    <w:p>
      <w:pPr>
        <w:pStyle w:val="Heading2"/>
        <w:spacing w:after="150" w:before="300"/>
      </w:pPr>
      <w:r>
        <w:rPr>
          <w:b/>
          <w:bCs/>
          <w:color w:val="1B3A5C"/>
          <w:sz w:val="25"/>
          <w:szCs w:val="25"/>
        </w:rPr>
        <w:t xml:space="preserve">2.9 Abnahmekriterien (Beispiele)</w:t>
      </w:r>
    </w:p>
    <w:p>
      <w:pPr>
        <w:pStyle w:val="ListParagraph"/>
        <w:numPr>
          <w:ilvl w:val="0"/>
          <w:numId w:val="2"/>
        </w:numPr>
        <w:spacing w:after="80"/>
      </w:pPr>
      <w:r>
        <w:rPr>
          <w:rFonts w:ascii="Calibri" w:cs="Calibri" w:eastAsia="Calibri" w:hAnsi="Calibri"/>
          <w:sz w:val="21"/>
          <w:szCs w:val="21"/>
        </w:rPr>
        <w:t xml:space="preserve">Ein hochgeladenes Test-PDF wird korrekt gehasht und der Hash erscheint als Payload in einer nachweisbaren, bestätigten Kaspa-Transaktion.</w:t>
      </w:r>
    </w:p>
    <w:p>
      <w:pPr>
        <w:pStyle w:val="ListParagraph"/>
        <w:numPr>
          <w:ilvl w:val="0"/>
          <w:numId w:val="2"/>
        </w:numPr>
        <w:spacing w:after="80"/>
      </w:pPr>
      <w:r>
        <w:rPr>
          <w:rFonts w:ascii="Calibri" w:cs="Calibri" w:eastAsia="Calibri" w:hAnsi="Calibri"/>
          <w:sz w:val="21"/>
          <w:szCs w:val="21"/>
        </w:rPr>
        <w:t xml:space="preserve">Das erzeugte Zertifikat lässt sich unabhängig vom KaspaNotar-System (z. B. über einen öffentlichen Kaspa-Explorer) verifizieren.</w:t>
      </w:r>
    </w:p>
    <w:p>
      <w:pPr>
        <w:pStyle w:val="ListParagraph"/>
        <w:numPr>
          <w:ilvl w:val="0"/>
          <w:numId w:val="2"/>
        </w:numPr>
        <w:spacing w:after="80"/>
      </w:pPr>
      <w:r>
        <w:rPr>
          <w:rFonts w:ascii="Calibri" w:cs="Calibri" w:eastAsia="Calibri" w:hAnsi="Calibri"/>
          <w:sz w:val="21"/>
          <w:szCs w:val="21"/>
        </w:rPr>
        <w:t xml:space="preserve">Ein verändertes PDF (auch nur 1 Byte Unterschied) erzeugt einen abweichenden Hash und wird beim Verifizierungsversuch klar als „nicht übereinstimmend“ ausgewiesen.</w:t>
      </w:r>
    </w:p>
    <w:p>
      <w:pPr>
        <w:pStyle w:val="ListParagraph"/>
        <w:numPr>
          <w:ilvl w:val="0"/>
          <w:numId w:val="2"/>
        </w:numPr>
        <w:spacing w:after="80"/>
      </w:pPr>
      <w:r>
        <w:rPr>
          <w:rFonts w:ascii="Calibri" w:cs="Calibri" w:eastAsia="Calibri" w:hAnsi="Calibri"/>
          <w:sz w:val="21"/>
          <w:szCs w:val="21"/>
        </w:rPr>
        <w:t xml:space="preserve">Es ist zu keinem Zeitpunkt im gesamten Ablauf ein unverschlüsselter Dokumentinhalt auf dem Server persistiert.</w:t>
      </w:r>
    </w:p>
    <w:p>
      <w:pPr>
        <w:pStyle w:val="Heading2"/>
        <w:spacing w:after="150" w:before="300"/>
      </w:pPr>
      <w:r>
        <w:rPr>
          <w:b/>
          <w:bCs/>
          <w:color w:val="1B3A5C"/>
          <w:sz w:val="25"/>
          <w:szCs w:val="25"/>
        </w:rPr>
        <w:t xml:space="preserve">2.10 Abgrenzung (Out of Scope, vorerst)</w:t>
      </w:r>
    </w:p>
    <w:p>
      <w:pPr>
        <w:pStyle w:val="ListParagraph"/>
        <w:numPr>
          <w:ilvl w:val="0"/>
          <w:numId w:val="2"/>
        </w:numPr>
        <w:spacing w:after="80"/>
      </w:pPr>
      <w:r>
        <w:rPr>
          <w:rFonts w:ascii="Calibri" w:cs="Calibri" w:eastAsia="Calibri" w:hAnsi="Calibri"/>
          <w:sz w:val="21"/>
          <w:szCs w:val="21"/>
        </w:rPr>
        <w:t xml:space="preserve">Keine rechtsverbindliche notarielle Beglaubigung oder Beurkundung.</w:t>
      </w:r>
    </w:p>
    <w:p>
      <w:pPr>
        <w:pStyle w:val="ListParagraph"/>
        <w:numPr>
          <w:ilvl w:val="0"/>
          <w:numId w:val="2"/>
        </w:numPr>
        <w:spacing w:after="80"/>
      </w:pPr>
      <w:r>
        <w:rPr>
          <w:rFonts w:ascii="Calibri" w:cs="Calibri" w:eastAsia="Calibri" w:hAnsi="Calibri"/>
          <w:sz w:val="21"/>
          <w:szCs w:val="21"/>
        </w:rPr>
        <w:t xml:space="preserve">Keine automatisierte Identitätsprüfung (KYC) der Nutzer in der ersten Ausbaustufe.</w:t>
      </w:r>
    </w:p>
    <w:p>
      <w:pPr>
        <w:pStyle w:val="ListParagraph"/>
        <w:numPr>
          <w:ilvl w:val="0"/>
          <w:numId w:val="2"/>
        </w:numPr>
        <w:spacing w:after="80"/>
      </w:pPr>
      <w:r>
        <w:rPr>
          <w:rFonts w:ascii="Calibri" w:cs="Calibri" w:eastAsia="Calibri" w:hAnsi="Calibri"/>
          <w:sz w:val="21"/>
          <w:szCs w:val="21"/>
        </w:rPr>
        <w:t xml:space="preserve">Keine Signatur- oder Formularfunktion (kein e-Signing wie DocuSign) – ausschließlich Existenznachweis.</w:t>
      </w:r>
    </w:p>
    <w:p>
      <w:pPr>
        <w:pStyle w:val="ListParagraph"/>
        <w:numPr>
          <w:ilvl w:val="0"/>
          <w:numId w:val="2"/>
        </w:numPr>
        <w:spacing w:after="80"/>
      </w:pPr>
      <w:r>
        <w:rPr>
          <w:rFonts w:ascii="Calibri" w:cs="Calibri" w:eastAsia="Calibri" w:hAnsi="Calibri"/>
          <w:sz w:val="21"/>
          <w:szCs w:val="21"/>
        </w:rPr>
        <w:t xml:space="preserve">Keine Speicherung oder Archivierung der Originaldokumente durch KaspaNotar.</w:t>
      </w:r>
    </w:p>
    <w:p>
      <w:pPr>
        <w:pStyle w:val="Heading2"/>
        <w:spacing w:after="150" w:before="300"/>
      </w:pPr>
      <w:r>
        <w:rPr>
          <w:b/>
          <w:bCs/>
          <w:color w:val="1B3A5C"/>
          <w:sz w:val="25"/>
          <w:szCs w:val="25"/>
        </w:rPr>
        <w:t xml:space="preserve">2.11 Erlösmodell / Monetarisierung</w:t>
      </w:r>
    </w:p>
    <w:p>
      <w:pPr>
        <w:spacing w:after="160" w:line="276"/>
      </w:pPr>
      <w:r>
        <w:rPr>
          <w:rFonts w:ascii="Calibri" w:cs="Calibri" w:eastAsia="Calibri" w:hAnsi="Calibri"/>
          <w:sz w:val="21"/>
          <w:szCs w:val="21"/>
        </w:rPr>
        <w:t xml:space="preserve">Für die Finanzierung und Skalierung von KaspaNotar kommen mehrere, teils kombinierbare Erlösmodelle infrage:</w:t>
      </w:r>
    </w:p>
    <w:p>
      <w:pPr>
        <w:pStyle w:val="Heading3"/>
        <w:spacing w:after="100" w:before="200"/>
      </w:pPr>
      <w:r>
        <w:rPr>
          <w:b/>
          <w:bCs/>
          <w:color w:val="333333"/>
          <w:sz w:val="22"/>
          <w:szCs w:val="22"/>
        </w:rPr>
        <w:t xml:space="preserve">1. Transaktionsbasierte Gebühr</w:t>
      </w:r>
    </w:p>
    <w:p>
      <w:pPr>
        <w:spacing w:after="160" w:line="276"/>
      </w:pPr>
      <w:r>
        <w:rPr>
          <w:rFonts w:ascii="Calibri" w:cs="Calibri" w:eastAsia="Calibri" w:hAnsi="Calibri"/>
          <w:sz w:val="21"/>
          <w:szCs w:val="21"/>
        </w:rPr>
        <w:t xml:space="preserve">Da die Kaspa-Netzwerkgebühren im Bruchteil-Cent-Bereich liegen, entsteht eine hohe Marge: Der Nutzer zahlt z. B. 0,99–2,99 € pro Verankerung, während die eigentliche Netzwerkgebühr für den Betreiber praktisch vernachlässigbar ist. Durch Batch-/Merkle-Verankerung (F-11) sinken die Kosten pro Dokument bei steigendem Volumen weiter, während der Nutzer weiterhin regulär zahlt.</w:t>
      </w:r>
    </w:p>
    <w:p>
      <w:pPr>
        <w:pStyle w:val="Heading3"/>
        <w:spacing w:after="100" w:before="200"/>
      </w:pPr>
      <w:r>
        <w:rPr>
          <w:b/>
          <w:bCs/>
          <w:color w:val="333333"/>
          <w:sz w:val="22"/>
          <w:szCs w:val="22"/>
        </w:rPr>
        <w:t xml:space="preserve">2. Freemium + Abo</w:t>
      </w:r>
    </w:p>
    <w:p>
      <w:pPr>
        <w:pStyle w:val="ListParagraph"/>
        <w:numPr>
          <w:ilvl w:val="0"/>
          <w:numId w:val="2"/>
        </w:numPr>
        <w:spacing w:after="80"/>
      </w:pPr>
      <w:r>
        <w:rPr>
          <w:rFonts w:ascii="Calibri" w:cs="Calibri" w:eastAsia="Calibri" w:hAnsi="Calibri"/>
          <w:sz w:val="21"/>
          <w:szCs w:val="21"/>
        </w:rPr>
        <w:t xml:space="preserve">Kostenlos: begrenzte Anzahl Verankerungen pro Monat, Basis-Zertifikat, Stufe 0/1 der Identitätsbindung (siehe 2.6).</w:t>
      </w:r>
    </w:p>
    <w:p>
      <w:pPr>
        <w:pStyle w:val="ListParagraph"/>
        <w:numPr>
          <w:ilvl w:val="0"/>
          <w:numId w:val="2"/>
        </w:numPr>
        <w:spacing w:after="80"/>
      </w:pPr>
      <w:r>
        <w:rPr>
          <w:rFonts w:ascii="Calibri" w:cs="Calibri" w:eastAsia="Calibri" w:hAnsi="Calibri"/>
          <w:sz w:val="21"/>
          <w:szCs w:val="21"/>
        </w:rPr>
        <w:t xml:space="preserve">Bezahlt (z. B. 9–19 €/Monat): mehr Verankerungen, Verlaufs-Dashboard, Wallet-Anbindung, priorisierte Bestätigung.</w:t>
      </w:r>
    </w:p>
    <w:p>
      <w:pPr>
        <w:spacing w:after="160" w:line="276"/>
      </w:pPr>
      <w:r>
        <w:rPr>
          <w:rFonts w:ascii="Calibri" w:cs="Calibri" w:eastAsia="Calibri" w:hAnsi="Calibri"/>
          <w:sz w:val="21"/>
          <w:szCs w:val="21"/>
        </w:rPr>
        <w:t xml:space="preserve">Klassisches SaaS-Modell, das für Freelancer und Kreative einen niedrigschwelligen Einstieg bietet.</w:t>
      </w:r>
    </w:p>
    <w:p>
      <w:pPr>
        <w:pStyle w:val="Heading3"/>
        <w:spacing w:after="100" w:before="200"/>
      </w:pPr>
      <w:r>
        <w:rPr>
          <w:b/>
          <w:bCs/>
          <w:color w:val="333333"/>
          <w:sz w:val="22"/>
          <w:szCs w:val="22"/>
        </w:rPr>
        <w:t xml:space="preserve">3. „Verified“-Tier als eigene Einnahmequelle</w:t>
      </w:r>
    </w:p>
    <w:p>
      <w:pPr>
        <w:spacing w:after="160" w:line="276"/>
      </w:pPr>
      <w:r>
        <w:rPr>
          <w:rFonts w:ascii="Calibri" w:cs="Calibri" w:eastAsia="Calibri" w:hAnsi="Calibri"/>
          <w:sz w:val="21"/>
          <w:szCs w:val="21"/>
        </w:rPr>
        <w:t xml:space="preserve">Die eID-/Video-Ident-Verifizierung (siehe 2.6/3.9) verursacht Kosten beim externen Ident-Anbieter, auf die ein Aufschlag kalkuliert werden kann (z. B. Anbieterkosten 5–15 € zzgl. eigener Marge). Für Anwendungsfälle mit echtem Streitpotenzial ist eine höhere Zahlungsbereitschaft zu erwarten, da der Beweiswert deutlich steigt.</w:t>
      </w:r>
    </w:p>
    <w:p>
      <w:pPr>
        <w:pStyle w:val="Heading3"/>
        <w:spacing w:after="100" w:before="200"/>
      </w:pPr>
      <w:r>
        <w:rPr>
          <w:b/>
          <w:bCs/>
          <w:color w:val="333333"/>
          <w:sz w:val="22"/>
          <w:szCs w:val="22"/>
        </w:rPr>
        <w:t xml:space="preserve">4. B2B / White-Label</w:t>
      </w:r>
    </w:p>
    <w:p>
      <w:pPr>
        <w:pStyle w:val="ListParagraph"/>
        <w:numPr>
          <w:ilvl w:val="0"/>
          <w:numId w:val="2"/>
        </w:numPr>
        <w:spacing w:after="80"/>
      </w:pPr>
      <w:r>
        <w:rPr>
          <w:rFonts w:ascii="Calibri" w:cs="Calibri" w:eastAsia="Calibri" w:hAnsi="Calibri"/>
          <w:sz w:val="21"/>
          <w:szCs w:val="21"/>
        </w:rPr>
        <w:t xml:space="preserve">Öffentliche API (F-12) für Drittsysteme: monatlicher Sockelbetrag plus Preis pro API-Call, z. B. für Kanzleien, Versicherungen, Auditfirmen oder Dokumentenmanagement-Systeme.</w:t>
      </w:r>
    </w:p>
    <w:p>
      <w:pPr>
        <w:pStyle w:val="ListParagraph"/>
        <w:numPr>
          <w:ilvl w:val="0"/>
          <w:numId w:val="2"/>
        </w:numPr>
        <w:spacing w:after="80"/>
      </w:pPr>
      <w:r>
        <w:rPr>
          <w:rFonts w:ascii="Calibri" w:cs="Calibri" w:eastAsia="Calibri" w:hAnsi="Calibri"/>
          <w:sz w:val="21"/>
          <w:szCs w:val="21"/>
        </w:rPr>
        <w:t xml:space="preserve">Branchenlösung für Prüf-/Gutachterorganisationen: automatisierte Verankerung von Prüfberichten direkt aus vorhandener Prüfsoftware heraus, mit Volumenpreisen für Organisationen statt Einzelpreisen.</w:t>
      </w:r>
    </w:p>
    <w:p>
      <w:pPr>
        <w:pStyle w:val="ListParagraph"/>
        <w:numPr>
          <w:ilvl w:val="0"/>
          <w:numId w:val="2"/>
        </w:numPr>
        <w:spacing w:after="80"/>
      </w:pPr>
      <w:r>
        <w:rPr>
          <w:rFonts w:ascii="Calibri" w:cs="Calibri" w:eastAsia="Calibri" w:hAnsi="Calibri"/>
          <w:sz w:val="21"/>
          <w:szCs w:val="21"/>
        </w:rPr>
        <w:t xml:space="preserve">White-Label-Angebot für Kanzleien: Mandanten erhalten einen „Dokumenten-Zeitstempel“-Dienst unter der Marke der Kanzlei, während KaspaNotar die Infrastruktur im Hintergrund betreibt.</w:t>
      </w:r>
    </w:p>
    <w:p>
      <w:pPr>
        <w:pStyle w:val="Heading3"/>
        <w:spacing w:after="100" w:before="200"/>
      </w:pPr>
      <w:r>
        <w:rPr>
          <w:b/>
          <w:bCs/>
          <w:color w:val="333333"/>
          <w:sz w:val="22"/>
          <w:szCs w:val="22"/>
        </w:rPr>
        <w:t xml:space="preserve">5. Team-/Organisationskonten</w:t>
      </w:r>
    </w:p>
    <w:p>
      <w:pPr>
        <w:spacing w:after="160" w:line="276"/>
      </w:pPr>
      <w:r>
        <w:rPr>
          <w:rFonts w:ascii="Calibri" w:cs="Calibri" w:eastAsia="Calibri" w:hAnsi="Calibri"/>
          <w:sz w:val="21"/>
          <w:szCs w:val="21"/>
        </w:rPr>
        <w:t xml:space="preserve">Feste monatliche Lizenz pro Unternehmen mit mehreren Nutzern, Rollen und zentraler Abrechnung (siehe F-15), gestaffelt nach Nutzeranzahl oder Verankerungsvolumen – klassisches B2B-SaaS-Pricing.</w:t>
      </w:r>
    </w:p>
    <w:p>
      <w:pPr>
        <w:spacing w:after="160" w:line="276"/>
      </w:pPr>
      <w:r>
        <w:rPr>
          <w:rFonts w:ascii="Calibri" w:cs="Calibri" w:eastAsia="Calibri" w:hAnsi="Calibri"/>
          <w:sz w:val="21"/>
          <w:szCs w:val="21"/>
        </w:rPr>
        <w:t xml:space="preserve">Empfohlener Fahrplan: Start mit Modell 1 und 2 (Transaktionsgebühr + Freemium) für den MVP zur schnellen Marktvalidierung mit geringem Aufwand; Ausbau um Modell 4 (B2B/API) sobald erste zahlende Nutzer vorhanden sind, da einzelne B2B-Kunden tendenziell einen deutlich höheren Wert erzielen als viele Einzelnutzer.</w:t>
      </w:r>
    </w:p>
    <w:p>
      <w:r>
        <w:br w:type="page"/>
      </w:r>
    </w:p>
    <w:p>
      <w:pPr>
        <w:pStyle w:val="Heading1"/>
        <w:pBdr>
          <w:bottom w:val="single" w:color="1B3A5C" w:sz="8" w:space="4"/>
        </w:pBdr>
        <w:spacing w:after="200" w:before="400"/>
      </w:pPr>
      <w:r>
        <w:rPr>
          <w:b/>
          <w:bCs/>
          <w:color w:val="1B3A5C"/>
          <w:sz w:val="30"/>
          <w:szCs w:val="30"/>
        </w:rPr>
        <w:t xml:space="preserve">3. Pflichtenheft – Technische Umsetzung</w:t>
      </w:r>
    </w:p>
    <w:p>
      <w:pPr>
        <w:pStyle w:val="Heading2"/>
        <w:spacing w:after="150" w:before="300"/>
      </w:pPr>
      <w:r>
        <w:rPr>
          <w:b/>
          <w:bCs/>
          <w:color w:val="1B3A5C"/>
          <w:sz w:val="25"/>
          <w:szCs w:val="25"/>
        </w:rPr>
        <w:t xml:space="preserve">3.1 Systemarchitektur (Überblick)</w:t>
      </w:r>
    </w:p>
    <w:p>
      <w:pPr>
        <w:spacing w:after="160" w:line="276"/>
      </w:pPr>
      <w:r>
        <w:rPr>
          <w:rFonts w:ascii="Calibri" w:cs="Calibri" w:eastAsia="Calibri" w:hAnsi="Calibri"/>
          <w:sz w:val="21"/>
          <w:szCs w:val="21"/>
        </w:rPr>
        <w:t xml:space="preserve">Drei-Schichten-Architektur, angelehnt an die bestehenden Projekte KasPay/KaspaEscrow:</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7500"/>
      </w:tblGrid>
      <w:tr>
        <w:trPr>
          <w:tblHeader/>
        </w:trPr>
        <w:tc>
          <w:tcPr>
            <w:tcW w:type="dxa" w:w="26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Schicht</w:t>
            </w:r>
          </w:p>
        </w:tc>
        <w:tc>
          <w:tcPr>
            <w:tcW w:type="dxa" w:w="75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Beschreibung</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Client (Frontend)</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React + Tailwind CSS (Web-App, responsiv, PWA-fähig). Führt Hash-Berechnung lokal via Web Crypto API durch, sodass der Dokumentinhalt den Client nie verlässt.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 (API-Server)</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Node.js / Express. Verwaltet Nutzerkonten, Verlaufsdaten, initiiert bzw. begleitet die Kaspa-Transaktion, erzeugt PDF-Zertifikate.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Blockchain-Layer</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Anbindung an Kaspa via kaspa-wasm (analog KasPay/KaspaEscrow). Einbettung des Hash als Transaktions-Payload; Auslesen/Bestätigung über Kaspa-Node bzw. öffentliche REST-API (z. B. Kaspa-API/Explorer).</w:t>
            </w:r>
          </w:p>
        </w:tc>
      </w:tr>
    </w:tbl>
    <w:p>
      <w:pPr>
        <w:pStyle w:val="Heading2"/>
        <w:spacing w:after="150" w:before="300"/>
      </w:pPr>
      <w:r>
        <w:rPr>
          <w:b/>
          <w:bCs/>
          <w:color w:val="1B3A5C"/>
          <w:sz w:val="25"/>
          <w:szCs w:val="25"/>
        </w:rPr>
        <w:t xml:space="preserve">3.2 Technologie-Stack</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7500"/>
      </w:tblGrid>
      <w:tr>
        <w:trPr>
          <w:tblHeader/>
        </w:trPr>
        <w:tc>
          <w:tcPr>
            <w:tcW w:type="dxa" w:w="26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Bereich</w:t>
            </w:r>
          </w:p>
        </w:tc>
        <w:tc>
          <w:tcPr>
            <w:tcW w:type="dxa" w:w="75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Technologie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Frontend</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React, Tailwind CSS, PWA-Support (angelehnt an KasPay)</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Backend</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Node.js (Express), REST-API</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Datenbank</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PostgreSQL</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Blockchain-Anbindung</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kaspa-wasm (BIP32-Ableitung, Transaktionserstellung/-versand)</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Hashing</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SHA-256 über Web Crypto API (Client), optional SHA-3/Keccak als Alternative</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Zertifikatserstellung</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Serverseitige PDF-Generierung (z. B. PDFKit) inkl. QR-Code (z. B. via qrcode-Bibliothek)</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Auth</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JWT-basierte Authentifizierung (analog KasPay), optional Wallet-Login (Signatur statt Passwort)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Hosting</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Mac mini (peterpan) für Entwicklung/Test; produktiv Cloud-Hosting/VPS vorzusehen</w:t>
            </w:r>
          </w:p>
        </w:tc>
      </w:tr>
    </w:tbl>
    <w:p>
      <w:pPr>
        <w:pStyle w:val="Heading2"/>
        <w:spacing w:after="150" w:before="300"/>
      </w:pPr>
      <w:r>
        <w:rPr>
          <w:b/>
          <w:bCs/>
          <w:color w:val="1B3A5C"/>
          <w:sz w:val="25"/>
          <w:szCs w:val="25"/>
        </w:rPr>
        <w:t xml:space="preserve">3.3 Hash-Verfahren im Detail</w:t>
      </w:r>
    </w:p>
    <w:p>
      <w:pPr>
        <w:pStyle w:val="ListParagraph"/>
        <w:numPr>
          <w:ilvl w:val="0"/>
          <w:numId w:val="2"/>
        </w:numPr>
        <w:spacing w:after="80"/>
      </w:pPr>
      <w:r>
        <w:rPr>
          <w:rFonts w:ascii="Calibri" w:cs="Calibri" w:eastAsia="Calibri" w:hAnsi="Calibri"/>
          <w:sz w:val="21"/>
          <w:szCs w:val="21"/>
        </w:rPr>
        <w:t xml:space="preserve">PDF wird per FileReader/ArrayBuffer im Browser eingelesen.</w:t>
      </w:r>
    </w:p>
    <w:p>
      <w:pPr>
        <w:pStyle w:val="ListParagraph"/>
        <w:numPr>
          <w:ilvl w:val="0"/>
          <w:numId w:val="2"/>
        </w:numPr>
        <w:spacing w:after="80"/>
      </w:pPr>
      <w:r>
        <w:rPr>
          <w:rFonts w:ascii="Calibri" w:cs="Calibri" w:eastAsia="Calibri" w:hAnsi="Calibri"/>
          <w:sz w:val="21"/>
          <w:szCs w:val="21"/>
        </w:rPr>
        <w:t xml:space="preserve">Hashberechnung via crypto.subtle.digest('SHA-256', buffer) – rein clientseitig, keine Serverkommunikation nötig.</w:t>
      </w:r>
    </w:p>
    <w:p>
      <w:pPr>
        <w:pStyle w:val="ListParagraph"/>
        <w:numPr>
          <w:ilvl w:val="0"/>
          <w:numId w:val="2"/>
        </w:numPr>
        <w:spacing w:after="80"/>
      </w:pPr>
      <w:r>
        <w:rPr>
          <w:rFonts w:ascii="Calibri" w:cs="Calibri" w:eastAsia="Calibri" w:hAnsi="Calibri"/>
          <w:sz w:val="21"/>
          <w:szCs w:val="21"/>
        </w:rPr>
        <w:t xml:space="preserve">Ergebnis: 32-Byte-Hash, hexadezimal kodiert (64 Zeichen) – dies ist der einzige Wert, der an das Backend übermittelt wird.</w:t>
      </w:r>
    </w:p>
    <w:p>
      <w:pPr>
        <w:pStyle w:val="ListParagraph"/>
        <w:numPr>
          <w:ilvl w:val="0"/>
          <w:numId w:val="2"/>
        </w:numPr>
        <w:spacing w:after="80"/>
      </w:pPr>
      <w:r>
        <w:rPr>
          <w:rFonts w:ascii="Calibri" w:cs="Calibri" w:eastAsia="Calibri" w:hAnsi="Calibri"/>
          <w:sz w:val="21"/>
          <w:szCs w:val="21"/>
        </w:rPr>
        <w:t xml:space="preserve">Optional: zusätzlicher Salt/Nonce, falls Nutzer eine Verknüpfung mit ihrem Account zusätzlich absichern möchten (zu evaluieren, da dies die unabhängige Drittverifizierung erschwert).</w:t>
      </w:r>
    </w:p>
    <w:p>
      <w:pPr>
        <w:pStyle w:val="Heading2"/>
        <w:spacing w:after="150" w:before="300"/>
      </w:pPr>
      <w:r>
        <w:rPr>
          <w:b/>
          <w:bCs/>
          <w:color w:val="1B3A5C"/>
          <w:sz w:val="25"/>
          <w:szCs w:val="25"/>
        </w:rPr>
        <w:t xml:space="preserve">3.4 Kaspa-Anbindung / On-Chain-Verankerung</w:t>
      </w:r>
    </w:p>
    <w:p>
      <w:pPr>
        <w:pStyle w:val="ListParagraph"/>
        <w:numPr>
          <w:ilvl w:val="0"/>
          <w:numId w:val="2"/>
        </w:numPr>
        <w:spacing w:after="80"/>
      </w:pPr>
      <w:r>
        <w:rPr>
          <w:rFonts w:ascii="Calibri" w:cs="Calibri" w:eastAsia="Calibri" w:hAnsi="Calibri"/>
          <w:sz w:val="21"/>
          <w:szCs w:val="21"/>
        </w:rPr>
        <w:t xml:space="preserve">Der Hash wird als Payload-Daten in eine reguläre Kaspa-Transaktion eingebettet (analog einem OP_RETURN-Feld bei Bitcoin bzw. Kaspas Payload-Mechanismus für Transaktionen).</w:t>
      </w:r>
    </w:p>
    <w:p>
      <w:pPr>
        <w:pStyle w:val="ListParagraph"/>
        <w:numPr>
          <w:ilvl w:val="0"/>
          <w:numId w:val="2"/>
        </w:numPr>
        <w:spacing w:after="80"/>
      </w:pPr>
      <w:r>
        <w:rPr>
          <w:rFonts w:ascii="Calibri" w:cs="Calibri" w:eastAsia="Calibri" w:hAnsi="Calibri"/>
          <w:sz w:val="21"/>
          <w:szCs w:val="21"/>
        </w:rPr>
        <w:t xml:space="preserve">Absenderadresse: entweder ein vom Nutzer verbundenes Wallet (z. B. Kasware) signiert die Transaktion selbst, oder ein Plattform-eigenes „Anker-Wallet“ übernimmt die Verankerung im Namen des Nutzers (Kostenmodell zu definieren, siehe 3.9/3.13).</w:t>
      </w:r>
    </w:p>
    <w:p>
      <w:pPr>
        <w:pStyle w:val="ListParagraph"/>
        <w:numPr>
          <w:ilvl w:val="0"/>
          <w:numId w:val="2"/>
        </w:numPr>
        <w:spacing w:after="80"/>
      </w:pPr>
      <w:r>
        <w:rPr>
          <w:rFonts w:ascii="Calibri" w:cs="Calibri" w:eastAsia="Calibri" w:hAnsi="Calibri"/>
          <w:sz w:val="21"/>
          <w:szCs w:val="21"/>
        </w:rPr>
        <w:t xml:space="preserve">Nach dem Senden wird die Transaktions-ID (TXID) im Backend gespeichert und der Bestätigungsstatus (Anzahl Blue-Score-Bestätigungen) laufend abgefragt.</w:t>
      </w:r>
    </w:p>
    <w:p>
      <w:pPr>
        <w:pStyle w:val="ListParagraph"/>
        <w:numPr>
          <w:ilvl w:val="0"/>
          <w:numId w:val="2"/>
        </w:numPr>
        <w:spacing w:after="80"/>
      </w:pPr>
      <w:r>
        <w:rPr>
          <w:rFonts w:ascii="Calibri" w:cs="Calibri" w:eastAsia="Calibri" w:hAnsi="Calibri"/>
          <w:sz w:val="21"/>
          <w:szCs w:val="21"/>
        </w:rPr>
        <w:t xml:space="preserve">Langfristig relevant: Das Toccata-Upgrade (Covenants) könnte künftig komplexere, on-chain durchsetzbare Regeln ermöglichen (z. B. automatisierte Batch-Validierung) – für den MVP jedoch nicht erforderlich.</w:t>
      </w:r>
    </w:p>
    <w:p>
      <w:pPr>
        <w:pStyle w:val="Heading2"/>
        <w:spacing w:after="150" w:before="300"/>
      </w:pPr>
      <w:r>
        <w:rPr>
          <w:b/>
          <w:bCs/>
          <w:color w:val="1B3A5C"/>
          <w:sz w:val="25"/>
          <w:szCs w:val="25"/>
        </w:rPr>
        <w:t xml:space="preserve">3.5 Datenmodell (vereinfacht)</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7900"/>
      </w:tblGrid>
      <w:tr>
        <w:trPr>
          <w:tblHeader/>
        </w:trPr>
        <w:tc>
          <w:tcPr>
            <w:tcW w:type="dxa" w:w="22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Tabelle</w:t>
            </w:r>
          </w:p>
        </w:tc>
        <w:tc>
          <w:tcPr>
            <w:tcW w:type="dxa" w:w="79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Wesentliche Felder</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users</w:t>
            </w:r>
          </w:p>
        </w:tc>
        <w:tc>
          <w:tcPr>
            <w:tcW w:type="dxa" w:w="7900"/>
            <w:tcMar>
              <w:top w:type="dxa" w:w="80"/>
              <w:left w:type="dxa" w:w="100"/>
              <w:bottom w:type="dxa" w:w="80"/>
              <w:right w:type="dxa" w:w="100"/>
            </w:tcMar>
          </w:tcPr>
          <w:p>
            <w:r>
              <w:rPr>
                <w:rFonts w:ascii="Calibri" w:cs="Calibri" w:eastAsia="Calibri" w:hAnsi="Calibri"/>
                <w:b w:val="false"/>
                <w:bCs w:val="false"/>
                <w:color w:val="000000"/>
                <w:sz w:val="20"/>
                <w:szCs w:val="20"/>
              </w:rPr>
              <w:t xml:space="preserve">id, email, password_hash (oder wallet_address), created_at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documents</w:t>
            </w:r>
          </w:p>
        </w:tc>
        <w:tc>
          <w:tcPr>
            <w:tcW w:type="dxa" w:w="7900"/>
            <w:tcMar>
              <w:top w:type="dxa" w:w="80"/>
              <w:left w:type="dxa" w:w="100"/>
              <w:bottom w:type="dxa" w:w="80"/>
              <w:right w:type="dxa" w:w="100"/>
            </w:tcMar>
          </w:tcPr>
          <w:p>
            <w:r>
              <w:rPr>
                <w:rFonts w:ascii="Calibri" w:cs="Calibri" w:eastAsia="Calibri" w:hAnsi="Calibri"/>
                <w:b w:val="false"/>
                <w:bCs w:val="false"/>
                <w:color w:val="000000"/>
                <w:sz w:val="20"/>
                <w:szCs w:val="20"/>
              </w:rPr>
              <w:t xml:space="preserve">id, user_id, filename (optional), sha256_hash, created_at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anchors</w:t>
            </w:r>
          </w:p>
        </w:tc>
        <w:tc>
          <w:tcPr>
            <w:tcW w:type="dxa" w:w="7900"/>
            <w:tcMar>
              <w:top w:type="dxa" w:w="80"/>
              <w:left w:type="dxa" w:w="100"/>
              <w:bottom w:type="dxa" w:w="80"/>
              <w:right w:type="dxa" w:w="100"/>
            </w:tcMar>
          </w:tcPr>
          <w:p>
            <w:r>
              <w:rPr>
                <w:rFonts w:ascii="Calibri" w:cs="Calibri" w:eastAsia="Calibri" w:hAnsi="Calibri"/>
                <w:b w:val="false"/>
                <w:bCs w:val="false"/>
                <w:color w:val="000000"/>
                <w:sz w:val="20"/>
                <w:szCs w:val="20"/>
              </w:rPr>
              <w:t xml:space="preserve">id, document_id, kaspa_txid, block_time, confirmations, status</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certificates</w:t>
            </w:r>
          </w:p>
        </w:tc>
        <w:tc>
          <w:tcPr>
            <w:tcW w:type="dxa" w:w="7900"/>
            <w:tcMar>
              <w:top w:type="dxa" w:w="80"/>
              <w:left w:type="dxa" w:w="100"/>
              <w:bottom w:type="dxa" w:w="80"/>
              <w:right w:type="dxa" w:w="100"/>
            </w:tcMar>
          </w:tcPr>
          <w:p>
            <w:r>
              <w:rPr>
                <w:rFonts w:ascii="Calibri" w:cs="Calibri" w:eastAsia="Calibri" w:hAnsi="Calibri"/>
                <w:b w:val="false"/>
                <w:bCs w:val="false"/>
                <w:color w:val="000000"/>
                <w:sz w:val="20"/>
                <w:szCs w:val="20"/>
              </w:rPr>
              <w:t xml:space="preserve">id, anchor_id, certificate_url, qr_code_payload, issued_at</w:t>
            </w:r>
          </w:p>
        </w:tc>
      </w:tr>
    </w:tbl>
    <w:p>
      <w:pPr>
        <w:pStyle w:val="Heading2"/>
        <w:spacing w:after="150" w:before="300"/>
      </w:pPr>
      <w:r>
        <w:rPr>
          <w:b/>
          <w:bCs/>
          <w:color w:val="1B3A5C"/>
          <w:sz w:val="25"/>
          <w:szCs w:val="25"/>
        </w:rPr>
        <w:t xml:space="preserve">3.6 API-Endpunkte (Auszug)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Endpunkt</w:t>
            </w:r>
          </w:p>
        </w:tc>
        <w:tc>
          <w:tcPr>
            <w:tcW w:type="dxa" w:w="63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Zweck</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/api/anchor</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Nimmt Hash entgegen, erstellt/versendet Kaspa-Transaktion</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/api/anchor/:txid</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Liefert aktuellen Bestätigungsstatus einer Verankerung</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POST /api/verify</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Prüft, ob ein übergebener Hash bereits verankert wurde</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/api/certificate/:id</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Liefert das PDF-Zertifikat zum Download</w:t>
            </w:r>
          </w:p>
        </w:tc>
      </w:tr>
      <w:tr>
        <w:tc>
          <w:tcPr>
            <w:tcW w:type="dxa" w:w="3200"/>
            <w:tcMar>
              <w:top w:type="dxa" w:w="80"/>
              <w:left w:type="dxa" w:w="100"/>
              <w:bottom w:type="dxa" w:w="80"/>
              <w:right w:type="dxa" w:w="100"/>
            </w:tcMar>
          </w:tcPr>
          <w:p>
            <w:r>
              <w:rPr>
                <w:rFonts w:ascii="Calibri" w:cs="Calibri" w:eastAsia="Calibri" w:hAnsi="Calibri"/>
                <w:b w:val="false"/>
                <w:bCs w:val="false"/>
                <w:color w:val="000000"/>
                <w:sz w:val="20"/>
                <w:szCs w:val="20"/>
              </w:rPr>
              <w:t xml:space="preserve">GET /api/user/history</w:t>
            </w:r>
          </w:p>
        </w:tc>
        <w:tc>
          <w:tcPr>
            <w:tcW w:type="dxa" w:w="6300"/>
            <w:tcMar>
              <w:top w:type="dxa" w:w="80"/>
              <w:left w:type="dxa" w:w="100"/>
              <w:bottom w:type="dxa" w:w="80"/>
              <w:right w:type="dxa" w:w="100"/>
            </w:tcMar>
          </w:tcPr>
          <w:p>
            <w:r>
              <w:rPr>
                <w:rFonts w:ascii="Calibri" w:cs="Calibri" w:eastAsia="Calibri" w:hAnsi="Calibri"/>
                <w:b w:val="false"/>
                <w:bCs w:val="false"/>
                <w:color w:val="000000"/>
                <w:sz w:val="20"/>
                <w:szCs w:val="20"/>
              </w:rPr>
              <w:t xml:space="preserve">Liste aller Verankerungen des eingeloggten Nutzers</w:t>
            </w:r>
          </w:p>
        </w:tc>
      </w:tr>
    </w:tbl>
    <w:p>
      <w:pPr>
        <w:pStyle w:val="Heading2"/>
        <w:spacing w:after="150" w:before="300"/>
      </w:pPr>
      <w:r>
        <w:rPr>
          <w:b/>
          <w:bCs/>
          <w:color w:val="1B3A5C"/>
          <w:sz w:val="25"/>
          <w:szCs w:val="25"/>
        </w:rPr>
        <w:t xml:space="preserve">3.7 Zertifikatsgenerierung</w:t>
      </w:r>
    </w:p>
    <w:p>
      <w:pPr>
        <w:pStyle w:val="ListParagraph"/>
        <w:numPr>
          <w:ilvl w:val="0"/>
          <w:numId w:val="2"/>
        </w:numPr>
        <w:spacing w:after="80"/>
      </w:pPr>
      <w:r>
        <w:rPr>
          <w:rFonts w:ascii="Calibri" w:cs="Calibri" w:eastAsia="Calibri" w:hAnsi="Calibri"/>
          <w:sz w:val="21"/>
          <w:szCs w:val="21"/>
        </w:rPr>
        <w:t xml:space="preserve">Serverseitig generiertes PDF mit: Hashwert, Kaspa-TXID, Blockzeit/Timestamp, Anzahl Bestätigungen, QR-Code (verlinkt auf öffentliche Verifizierungsseite mit vorausgefülltem Hash/TXID).</w:t>
      </w:r>
    </w:p>
    <w:p>
      <w:pPr>
        <w:pStyle w:val="ListParagraph"/>
        <w:numPr>
          <w:ilvl w:val="0"/>
          <w:numId w:val="2"/>
        </w:numPr>
        <w:spacing w:after="80"/>
      </w:pPr>
      <w:r>
        <w:rPr>
          <w:rFonts w:ascii="Calibri" w:cs="Calibri" w:eastAsia="Calibri" w:hAnsi="Calibri"/>
          <w:sz w:val="21"/>
          <w:szCs w:val="21"/>
        </w:rPr>
        <w:t xml:space="preserve">Design orientiert sich am Kaspa-Farbschema (Türkis/Dunkelblau) zur Wiedererkennbarkeit.</w:t>
      </w:r>
    </w:p>
    <w:p>
      <w:pPr>
        <w:pStyle w:val="ListParagraph"/>
        <w:numPr>
          <w:ilvl w:val="0"/>
          <w:numId w:val="2"/>
        </w:numPr>
        <w:spacing w:after="80"/>
      </w:pPr>
      <w:r>
        <w:rPr>
          <w:rFonts w:ascii="Calibri" w:cs="Calibri" w:eastAsia="Calibri" w:hAnsi="Calibri"/>
          <w:sz w:val="21"/>
          <w:szCs w:val="21"/>
        </w:rPr>
        <w:t xml:space="preserve">Zertifikat enthält deutlich sichtbaren rechtlichen Hinweis gemäß Kapitel 1.3.</w:t>
      </w:r>
    </w:p>
    <w:p>
      <w:pPr>
        <w:pStyle w:val="Heading2"/>
        <w:spacing w:after="150" w:before="300"/>
      </w:pPr>
      <w:r>
        <w:rPr>
          <w:b/>
          <w:bCs/>
          <w:color w:val="1B3A5C"/>
          <w:sz w:val="25"/>
          <w:szCs w:val="25"/>
        </w:rPr>
        <w:t xml:space="preserve">3.8 Verifizierungs-Workflow</w:t>
      </w:r>
    </w:p>
    <w:p>
      <w:pPr>
        <w:pStyle w:val="ListParagraph"/>
        <w:numPr>
          <w:ilvl w:val="0"/>
          <w:numId w:val="2"/>
        </w:numPr>
        <w:spacing w:after="80"/>
      </w:pPr>
      <w:r>
        <w:rPr>
          <w:rFonts w:ascii="Calibri" w:cs="Calibri" w:eastAsia="Calibri" w:hAnsi="Calibri"/>
          <w:sz w:val="21"/>
          <w:szCs w:val="21"/>
        </w:rPr>
        <w:t xml:space="preserve">1. Nutzer lädt PDF erneut hoch oder gibt Hash/TXID manuell ein.</w:t>
      </w:r>
    </w:p>
    <w:p>
      <w:pPr>
        <w:pStyle w:val="ListParagraph"/>
        <w:numPr>
          <w:ilvl w:val="0"/>
          <w:numId w:val="2"/>
        </w:numPr>
        <w:spacing w:after="80"/>
      </w:pPr>
      <w:r>
        <w:rPr>
          <w:rFonts w:ascii="Calibri" w:cs="Calibri" w:eastAsia="Calibri" w:hAnsi="Calibri"/>
          <w:sz w:val="21"/>
          <w:szCs w:val="21"/>
        </w:rPr>
        <w:t xml:space="preserve">2. System berechnet (bei Upload) den Hash clientseitig neu.</w:t>
      </w:r>
    </w:p>
    <w:p>
      <w:pPr>
        <w:pStyle w:val="ListParagraph"/>
        <w:numPr>
          <w:ilvl w:val="0"/>
          <w:numId w:val="2"/>
        </w:numPr>
        <w:spacing w:after="80"/>
      </w:pPr>
      <w:r>
        <w:rPr>
          <w:rFonts w:ascii="Calibri" w:cs="Calibri" w:eastAsia="Calibri" w:hAnsi="Calibri"/>
          <w:sz w:val="21"/>
          <w:szCs w:val="21"/>
        </w:rPr>
        <w:t xml:space="preserve">3. Backend gleicht Hash gegen gespeicherte Verankerungen sowie optional direkt gegen die Kaspa BlockDAG ab.</w:t>
      </w:r>
    </w:p>
    <w:p>
      <w:pPr>
        <w:pStyle w:val="ListParagraph"/>
        <w:numPr>
          <w:ilvl w:val="0"/>
          <w:numId w:val="2"/>
        </w:numPr>
        <w:spacing w:after="80"/>
      </w:pPr>
      <w:r>
        <w:rPr>
          <w:rFonts w:ascii="Calibri" w:cs="Calibri" w:eastAsia="Calibri" w:hAnsi="Calibri"/>
          <w:sz w:val="21"/>
          <w:szCs w:val="21"/>
        </w:rPr>
        <w:t xml:space="preserve">4. Ergebnis wird eindeutig angezeigt: „Übereinstimmung gefunden – verankert am [Datum/Uhrzeit], TXID [...]“ oder „Keine Übereinstimmung“.</w:t>
      </w:r>
    </w:p>
    <w:p>
      <w:pPr>
        <w:pStyle w:val="Heading2"/>
        <w:spacing w:after="150" w:before="300"/>
      </w:pPr>
      <w:r>
        <w:rPr>
          <w:b/>
          <w:bCs/>
          <w:color w:val="1B3A5C"/>
          <w:sz w:val="25"/>
          <w:szCs w:val="25"/>
        </w:rPr>
        <w:t xml:space="preserve">3.9 Identitätsbindung / Verified-Tier – technische Umsetzung</w:t>
      </w:r>
    </w:p>
    <w:p>
      <w:pPr>
        <w:pStyle w:val="Heading3"/>
        <w:spacing w:after="100" w:before="200"/>
      </w:pPr>
      <w:r>
        <w:rPr>
          <w:b/>
          <w:bCs/>
          <w:color w:val="333333"/>
          <w:sz w:val="22"/>
          <w:szCs w:val="22"/>
        </w:rPr>
        <w:t xml:space="preserve">Stufe 1 – Sign-in with Wallet</w:t>
      </w:r>
    </w:p>
    <w:p>
      <w:pPr>
        <w:pStyle w:val="ListParagraph"/>
        <w:numPr>
          <w:ilvl w:val="0"/>
          <w:numId w:val="2"/>
        </w:numPr>
        <w:spacing w:after="80"/>
      </w:pPr>
      <w:r>
        <w:rPr>
          <w:rFonts w:ascii="Calibri" w:cs="Calibri" w:eastAsia="Calibri" w:hAnsi="Calibri"/>
          <w:sz w:val="21"/>
          <w:szCs w:val="21"/>
        </w:rPr>
        <w:t xml:space="preserve">Backend generiert eine einmalige Challenge-Nachricht (Nonce) pro Login-Versuch.</w:t>
      </w:r>
    </w:p>
    <w:p>
      <w:pPr>
        <w:pStyle w:val="ListParagraph"/>
        <w:numPr>
          <w:ilvl w:val="0"/>
          <w:numId w:val="2"/>
        </w:numPr>
        <w:spacing w:after="80"/>
      </w:pPr>
      <w:r>
        <w:rPr>
          <w:rFonts w:ascii="Calibri" w:cs="Calibri" w:eastAsia="Calibri" w:hAnsi="Calibri"/>
          <w:sz w:val="21"/>
          <w:szCs w:val="21"/>
        </w:rPr>
        <w:t xml:space="preserve">Nutzer signiert die Challenge mit dem privaten Schlüssel seiner Wallet (z. B. über Kasware); die Signatur wird an das Backend übermittelt.</w:t>
      </w:r>
    </w:p>
    <w:p>
      <w:pPr>
        <w:pStyle w:val="ListParagraph"/>
        <w:numPr>
          <w:ilvl w:val="0"/>
          <w:numId w:val="2"/>
        </w:numPr>
        <w:spacing w:after="80"/>
      </w:pPr>
      <w:r>
        <w:rPr>
          <w:rFonts w:ascii="Calibri" w:cs="Calibri" w:eastAsia="Calibri" w:hAnsi="Calibri"/>
          <w:sz w:val="21"/>
          <w:szCs w:val="21"/>
        </w:rPr>
        <w:t xml:space="preserve">Backend verifiziert die Signatur gegen die öffentliche Adresse (Standard-Public-Key-Kryptografie) und bestätigt so die Kontrolle über die Adresse, ohne den privaten Schlüssel je zu sehen.</w:t>
      </w:r>
    </w:p>
    <w:p>
      <w:pPr>
        <w:pStyle w:val="ListParagraph"/>
        <w:numPr>
          <w:ilvl w:val="0"/>
          <w:numId w:val="2"/>
        </w:numPr>
        <w:spacing w:after="80"/>
      </w:pPr>
      <w:r>
        <w:rPr>
          <w:rFonts w:ascii="Calibri" w:cs="Calibri" w:eastAsia="Calibri" w:hAnsi="Calibri"/>
          <w:sz w:val="21"/>
          <w:szCs w:val="21"/>
        </w:rPr>
        <w:t xml:space="preserve">Ergebnis wird dauerhaft mit dem Nutzerkonto verknüpft (Tabelle user_wallets).</w:t>
      </w:r>
    </w:p>
    <w:p>
      <w:pPr>
        <w:pStyle w:val="Heading3"/>
        <w:spacing w:after="100" w:before="200"/>
      </w:pPr>
      <w:r>
        <w:rPr>
          <w:b/>
          <w:bCs/>
          <w:color w:val="333333"/>
          <w:sz w:val="22"/>
          <w:szCs w:val="22"/>
        </w:rPr>
        <w:t xml:space="preserve">Stufe 2 – eID-/Video-Ident-Anbindung</w:t>
      </w:r>
    </w:p>
    <w:p>
      <w:pPr>
        <w:pStyle w:val="ListParagraph"/>
        <w:numPr>
          <w:ilvl w:val="0"/>
          <w:numId w:val="2"/>
        </w:numPr>
        <w:spacing w:after="80"/>
      </w:pPr>
      <w:r>
        <w:rPr>
          <w:rFonts w:ascii="Calibri" w:cs="Calibri" w:eastAsia="Calibri" w:hAnsi="Calibri"/>
          <w:sz w:val="21"/>
          <w:szCs w:val="21"/>
        </w:rPr>
        <w:t xml:space="preserve">Integration eines etablierten Ident-Anbieters statt Eigenentwicklung (z. B. IDnow, WebID oder POSTIDENT für Video-Ident; alternativ Online-Ausweisfunktion via AusweisApp2-Schnittstelle für die eID-Funktion des Personalausweises).</w:t>
      </w:r>
    </w:p>
    <w:p>
      <w:pPr>
        <w:pStyle w:val="ListParagraph"/>
        <w:numPr>
          <w:ilvl w:val="0"/>
          <w:numId w:val="2"/>
        </w:numPr>
        <w:spacing w:after="80"/>
      </w:pPr>
      <w:r>
        <w:rPr>
          <w:rFonts w:ascii="Calibri" w:cs="Calibri" w:eastAsia="Calibri" w:hAnsi="Calibri"/>
          <w:sz w:val="21"/>
          <w:szCs w:val="21"/>
        </w:rPr>
        <w:t xml:space="preserve">Ablauf: Nutzer startet Verifizierung im Dashboard → Weiterleitung zum Ident-Anbieter → nach erfolgreichem Abschluss liefert der Anbieter ein signiertes Ergebnis (Name, Ident-Referenz, Zeitstempel) per Callback/Webhook zurück.</w:t>
      </w:r>
    </w:p>
    <w:p>
      <w:pPr>
        <w:pStyle w:val="ListParagraph"/>
        <w:numPr>
          <w:ilvl w:val="0"/>
          <w:numId w:val="2"/>
        </w:numPr>
        <w:spacing w:after="80"/>
      </w:pPr>
      <w:r>
        <w:rPr>
          <w:rFonts w:ascii="Calibri" w:cs="Calibri" w:eastAsia="Calibri" w:hAnsi="Calibri"/>
          <w:sz w:val="21"/>
          <w:szCs w:val="21"/>
        </w:rPr>
        <w:t xml:space="preserve">Nur das Verifizierungsergebnis (bestanden/nicht bestanden, Referenz-ID, Zeitstempel) wird bei KaspaNotar gespeichert – vollständige Ausweis-/Identitätsdaten verbleiben beim spezialisierten, dafür zertifizierten Ident-Anbieter (Datenminimierung, Trennung sensibler Daten vom Kernsystem).</w:t>
      </w:r>
    </w:p>
    <w:p>
      <w:pPr>
        <w:pStyle w:val="ListParagraph"/>
        <w:numPr>
          <w:ilvl w:val="0"/>
          <w:numId w:val="2"/>
        </w:numPr>
        <w:spacing w:after="80"/>
      </w:pPr>
      <w:r>
        <w:rPr>
          <w:rFonts w:ascii="Calibri" w:cs="Calibri" w:eastAsia="Calibri" w:hAnsi="Calibri"/>
          <w:sz w:val="21"/>
          <w:szCs w:val="21"/>
        </w:rPr>
        <w:t xml:space="preserve">Die Verified-Kennzeichnung erscheint anschließend auf dem PDF-Zertifikat, ohne die eigentlichen Identitätsdaten offenzulegen (z. B. „Identität verifiziert über [Anbieter], Ident-Ref. XY, am [Datum]“).</w:t>
      </w:r>
    </w:p>
    <w:p>
      <w:pPr>
        <w:pStyle w:val="Heading3"/>
        <w:spacing w:after="100" w:before="200"/>
      </w:pPr>
      <w:r>
        <w:rPr>
          <w:b/>
          <w:bCs/>
          <w:color w:val="333333"/>
          <w:sz w:val="22"/>
          <w:szCs w:val="22"/>
        </w:rPr>
        <w:t xml:space="preserve">Erweiterung des Datenmodells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7500"/>
      </w:tblGrid>
      <w:tr>
        <w:trPr>
          <w:tblHeader/>
        </w:trPr>
        <w:tc>
          <w:tcPr>
            <w:tcW w:type="dxa" w:w="26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Tabelle</w:t>
            </w:r>
          </w:p>
        </w:tc>
        <w:tc>
          <w:tcPr>
            <w:tcW w:type="dxa" w:w="75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Wesentliche Felder</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user_wallets</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id, user_id, wallet_address, verified_at (Sign-in-with-Wallet-Nachweis)</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user_identity_verifications</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id, user_id, provider, provider_reference, status, verified_at</w:t>
            </w:r>
          </w:p>
        </w:tc>
      </w:tr>
    </w:tbl>
    <w:p>
      <w:pPr>
        <w:pStyle w:val="Heading2"/>
        <w:spacing w:after="150" w:before="300"/>
      </w:pPr>
      <w:r>
        <w:rPr>
          <w:b/>
          <w:bCs/>
          <w:color w:val="1B3A5C"/>
          <w:sz w:val="25"/>
          <w:szCs w:val="25"/>
        </w:rPr>
        <w:t xml:space="preserve">3.10 Sicherheits- und Datenschutzkonzept</w:t>
      </w:r>
    </w:p>
    <w:p>
      <w:pPr>
        <w:pStyle w:val="ListParagraph"/>
        <w:numPr>
          <w:ilvl w:val="0"/>
          <w:numId w:val="2"/>
        </w:numPr>
        <w:spacing w:after="80"/>
      </w:pPr>
      <w:r>
        <w:rPr>
          <w:rFonts w:ascii="Calibri" w:cs="Calibri" w:eastAsia="Calibri" w:hAnsi="Calibri"/>
          <w:sz w:val="21"/>
          <w:szCs w:val="21"/>
        </w:rPr>
        <w:t xml:space="preserve">Kein Server-seitiges Speichern von Dokumentinhalten – nur Hashwerte werden persistiert.</w:t>
      </w:r>
    </w:p>
    <w:p>
      <w:pPr>
        <w:pStyle w:val="ListParagraph"/>
        <w:numPr>
          <w:ilvl w:val="0"/>
          <w:numId w:val="2"/>
        </w:numPr>
        <w:spacing w:after="80"/>
      </w:pPr>
      <w:r>
        <w:rPr>
          <w:rFonts w:ascii="Calibri" w:cs="Calibri" w:eastAsia="Calibri" w:hAnsi="Calibri"/>
          <w:sz w:val="21"/>
          <w:szCs w:val="21"/>
        </w:rPr>
        <w:t xml:space="preserve">Transportverschlüsselung (TLS) für alle API-Aufrufe.</w:t>
      </w:r>
    </w:p>
    <w:p>
      <w:pPr>
        <w:pStyle w:val="ListParagraph"/>
        <w:numPr>
          <w:ilvl w:val="0"/>
          <w:numId w:val="2"/>
        </w:numPr>
        <w:spacing w:after="80"/>
      </w:pPr>
      <w:r>
        <w:rPr>
          <w:rFonts w:ascii="Calibri" w:cs="Calibri" w:eastAsia="Calibri" w:hAnsi="Calibri"/>
          <w:sz w:val="21"/>
          <w:szCs w:val="21"/>
        </w:rPr>
        <w:t xml:space="preserve">Private Keys eines etwaigen Plattform-Anker-Wallets serverseitig verschlüsselt (AES-256-GCM, analog KasPay-Mnemonic-Verschlüsselung) und idealerweise in einem HSM/Secret-Manager verwahrt.</w:t>
      </w:r>
    </w:p>
    <w:p>
      <w:pPr>
        <w:pStyle w:val="ListParagraph"/>
        <w:numPr>
          <w:ilvl w:val="0"/>
          <w:numId w:val="2"/>
        </w:numPr>
        <w:spacing w:after="80"/>
      </w:pPr>
      <w:r>
        <w:rPr>
          <w:rFonts w:ascii="Calibri" w:cs="Calibri" w:eastAsia="Calibri" w:hAnsi="Calibri"/>
          <w:sz w:val="21"/>
          <w:szCs w:val="21"/>
        </w:rPr>
        <w:t xml:space="preserve">Rate-Limiting der Anker-Endpunkte zur Vermeidung von Spam/Kostenmissbrauch.</w:t>
      </w:r>
    </w:p>
    <w:p>
      <w:pPr>
        <w:pStyle w:val="Heading2"/>
        <w:spacing w:after="150" w:before="300"/>
      </w:pPr>
      <w:r>
        <w:rPr>
          <w:b/>
          <w:bCs/>
          <w:color w:val="1B3A5C"/>
          <w:sz w:val="25"/>
          <w:szCs w:val="25"/>
        </w:rPr>
        <w:t xml:space="preserve">3.11 Skalierung: Batch-Verankerung (Merkle-Baum)</w:t>
      </w:r>
    </w:p>
    <w:p>
      <w:pPr>
        <w:spacing w:after="160" w:line="276"/>
      </w:pPr>
      <w:r>
        <w:rPr>
          <w:rFonts w:ascii="Calibri" w:cs="Calibri" w:eastAsia="Calibri" w:hAnsi="Calibri"/>
          <w:sz w:val="21"/>
          <w:szCs w:val="21"/>
        </w:rPr>
        <w:t xml:space="preserve">Um Kosten zu sparen und Durchsatz zu erhöhen, können mehrere Dokument-Hashes zu einem Merkle-Baum zusammengefasst werden. Nur die Merkle-Root wird on-chain verankert; jedes einzelne Zertifikat enthält den individuellen Merkle-Pfad (Proof) zur Verifikation, dass der jeweilige Dokument-Hash Teil der verankerten Root war.</w:t>
      </w:r>
    </w:p>
    <w:p>
      <w:pPr>
        <w:pStyle w:val="Heading2"/>
        <w:spacing w:after="150" w:before="300"/>
      </w:pPr>
      <w:r>
        <w:rPr>
          <w:b/>
          <w:bCs/>
          <w:color w:val="1B3A5C"/>
          <w:sz w:val="25"/>
          <w:szCs w:val="25"/>
        </w:rPr>
        <w:t xml:space="preserve">3.12 Testkonzept</w:t>
      </w:r>
    </w:p>
    <w:p>
      <w:pPr>
        <w:pStyle w:val="ListParagraph"/>
        <w:numPr>
          <w:ilvl w:val="0"/>
          <w:numId w:val="2"/>
        </w:numPr>
        <w:spacing w:after="80"/>
      </w:pPr>
      <w:r>
        <w:rPr>
          <w:rFonts w:ascii="Calibri" w:cs="Calibri" w:eastAsia="Calibri" w:hAnsi="Calibri"/>
          <w:sz w:val="21"/>
          <w:szCs w:val="21"/>
        </w:rPr>
        <w:t xml:space="preserve">Unit-Tests für Hash-Berechnung (Vergleich mit Referenzimplementierungen).</w:t>
      </w:r>
    </w:p>
    <w:p>
      <w:pPr>
        <w:pStyle w:val="ListParagraph"/>
        <w:numPr>
          <w:ilvl w:val="0"/>
          <w:numId w:val="2"/>
        </w:numPr>
        <w:spacing w:after="80"/>
      </w:pPr>
      <w:r>
        <w:rPr>
          <w:rFonts w:ascii="Calibri" w:cs="Calibri" w:eastAsia="Calibri" w:hAnsi="Calibri"/>
          <w:sz w:val="21"/>
          <w:szCs w:val="21"/>
        </w:rPr>
        <w:t xml:space="preserve">Integrationstests der Kaspa-Transaktionserstellung gegen Testnet.</w:t>
      </w:r>
    </w:p>
    <w:p>
      <w:pPr>
        <w:pStyle w:val="ListParagraph"/>
        <w:numPr>
          <w:ilvl w:val="0"/>
          <w:numId w:val="2"/>
        </w:numPr>
        <w:spacing w:after="80"/>
      </w:pPr>
      <w:r>
        <w:rPr>
          <w:rFonts w:ascii="Calibri" w:cs="Calibri" w:eastAsia="Calibri" w:hAnsi="Calibri"/>
          <w:sz w:val="21"/>
          <w:szCs w:val="21"/>
        </w:rPr>
        <w:t xml:space="preserve">End-to-End-Test: Upload → Verankerung → Zertifikat → erneuter Upload → erfolgreiche Verifikation.</w:t>
      </w:r>
    </w:p>
    <w:p>
      <w:pPr>
        <w:pStyle w:val="ListParagraph"/>
        <w:numPr>
          <w:ilvl w:val="0"/>
          <w:numId w:val="2"/>
        </w:numPr>
        <w:spacing w:after="80"/>
      </w:pPr>
      <w:r>
        <w:rPr>
          <w:rFonts w:ascii="Calibri" w:cs="Calibri" w:eastAsia="Calibri" w:hAnsi="Calibri"/>
          <w:sz w:val="21"/>
          <w:szCs w:val="21"/>
        </w:rPr>
        <w:t xml:space="preserve">Negativtests: verändertes Dokument, ungültiger Hash, abgelaufene/nicht bestätigte Transaktion.</w:t>
      </w:r>
    </w:p>
    <w:p>
      <w:pPr>
        <w:pStyle w:val="Heading2"/>
        <w:spacing w:after="150" w:before="300"/>
      </w:pPr>
      <w:r>
        <w:rPr>
          <w:b/>
          <w:bCs/>
          <w:color w:val="1B3A5C"/>
          <w:sz w:val="25"/>
          <w:szCs w:val="25"/>
        </w:rPr>
        <w:t xml:space="preserve">3.13 Deployment / Infrastruktur</w:t>
      </w:r>
    </w:p>
    <w:p>
      <w:pPr>
        <w:pStyle w:val="ListParagraph"/>
        <w:numPr>
          <w:ilvl w:val="0"/>
          <w:numId w:val="2"/>
        </w:numPr>
        <w:spacing w:after="80"/>
      </w:pPr>
      <w:r>
        <w:rPr>
          <w:rFonts w:ascii="Calibri" w:cs="Calibri" w:eastAsia="Calibri" w:hAnsi="Calibri"/>
          <w:sz w:val="21"/>
          <w:szCs w:val="21"/>
        </w:rPr>
        <w:t xml:space="preserve">Entwicklung/Test lokal auf vorhandenem Mac mini (peterpan); produktives Deployment auf Cloud-VPS mit eigenem Kaspa-Node oder Anbindung an einen vertrauenswürdigen Kaspa-API-Provider.</w:t>
      </w:r>
    </w:p>
    <w:p>
      <w:pPr>
        <w:pStyle w:val="ListParagraph"/>
        <w:numPr>
          <w:ilvl w:val="0"/>
          <w:numId w:val="2"/>
        </w:numPr>
        <w:spacing w:after="80"/>
      </w:pPr>
      <w:r>
        <w:rPr>
          <w:rFonts w:ascii="Calibri" w:cs="Calibri" w:eastAsia="Calibri" w:hAnsi="Calibri"/>
          <w:sz w:val="21"/>
          <w:szCs w:val="21"/>
        </w:rPr>
        <w:t xml:space="preserve">CI/CD-Pipeline für automatisierte Tests vor Deployment (später ergänzbar).</w:t>
      </w:r>
    </w:p>
    <w:p>
      <w:pPr>
        <w:pStyle w:val="Heading2"/>
        <w:spacing w:after="150" w:before="300"/>
      </w:pPr>
      <w:r>
        <w:rPr>
          <w:b/>
          <w:bCs/>
          <w:color w:val="1B3A5C"/>
          <w:sz w:val="25"/>
          <w:szCs w:val="25"/>
        </w:rPr>
        <w:t xml:space="preserve">3.14 Meilensteine / Grobe Roadmap</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200"/>
        <w:gridCol w:w="7900"/>
      </w:tblGrid>
      <w:tr>
        <w:trPr>
          <w:tblHeader/>
        </w:trPr>
        <w:tc>
          <w:tcPr>
            <w:tcW w:type="dxa" w:w="22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Phase</w:t>
            </w:r>
          </w:p>
        </w:tc>
        <w:tc>
          <w:tcPr>
            <w:tcW w:type="dxa" w:w="79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Inhalt</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1 – MVP</w:t>
            </w:r>
          </w:p>
        </w:tc>
        <w:tc>
          <w:tcPr>
            <w:tcW w:type="dxa" w:w="7900"/>
            <w:tcMar>
              <w:top w:type="dxa" w:w="80"/>
              <w:left w:type="dxa" w:w="100"/>
              <w:bottom w:type="dxa" w:w="80"/>
              <w:right w:type="dxa" w:w="100"/>
            </w:tcMar>
          </w:tcPr>
          <w:p>
            <w:r>
              <w:rPr>
                <w:rFonts w:ascii="Calibri" w:cs="Calibri" w:eastAsia="Calibri" w:hAnsi="Calibri"/>
                <w:b w:val="false"/>
                <w:bCs w:val="false"/>
                <w:color w:val="000000"/>
                <w:sz w:val="20"/>
                <w:szCs w:val="20"/>
              </w:rPr>
              <w:t xml:space="preserve">PDF-Upload, clientseitiges Hashing, einfache Verankerung über Plattform-Wallet, Verifizierung, Basis-Zertifikat (F-01 bis F-07)</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2 – Nutzerkonto &amp; Wallet</w:t>
            </w:r>
          </w:p>
        </w:tc>
        <w:tc>
          <w:tcPr>
            <w:tcW w:type="dxa" w:w="7900"/>
            <w:tcMar>
              <w:top w:type="dxa" w:w="80"/>
              <w:left w:type="dxa" w:w="100"/>
              <w:bottom w:type="dxa" w:w="80"/>
              <w:right w:type="dxa" w:w="100"/>
            </w:tcMar>
          </w:tcPr>
          <w:p>
            <w:r>
              <w:rPr>
                <w:rFonts w:ascii="Calibri" w:cs="Calibri" w:eastAsia="Calibri" w:hAnsi="Calibri"/>
                <w:b w:val="false"/>
                <w:bCs w:val="false"/>
                <w:color w:val="000000"/>
                <w:sz w:val="20"/>
                <w:szCs w:val="20"/>
              </w:rPr>
              <w:t xml:space="preserve">Login/Dashboard, Verlauf, Anbindung externer Kaspa-Wallets, Sign-in-with-Wallet (F-08, F-09)</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2b – Verified-Tier</w:t>
            </w:r>
          </w:p>
        </w:tc>
        <w:tc>
          <w:tcPr>
            <w:tcW w:type="dxa" w:w="7900"/>
            <w:tcMar>
              <w:top w:type="dxa" w:w="80"/>
              <w:left w:type="dxa" w:w="100"/>
              <w:bottom w:type="dxa" w:w="80"/>
              <w:right w:type="dxa" w:w="100"/>
            </w:tcMar>
          </w:tcPr>
          <w:p>
            <w:r>
              <w:rPr>
                <w:rFonts w:ascii="Calibri" w:cs="Calibri" w:eastAsia="Calibri" w:hAnsi="Calibri"/>
                <w:b w:val="false"/>
                <w:bCs w:val="false"/>
                <w:color w:val="000000"/>
                <w:sz w:val="20"/>
                <w:szCs w:val="20"/>
              </w:rPr>
              <w:t xml:space="preserve">Integration eID-/Video-Ident-Anbieter für optionale Identitätsbindung (F-16, siehe 2.6 / 3.9)</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3 – Skalierung</w:t>
            </w:r>
          </w:p>
        </w:tc>
        <w:tc>
          <w:tcPr>
            <w:tcW w:type="dxa" w:w="7900"/>
            <w:tcMar>
              <w:top w:type="dxa" w:w="80"/>
              <w:left w:type="dxa" w:w="100"/>
              <w:bottom w:type="dxa" w:w="80"/>
              <w:right w:type="dxa" w:w="100"/>
            </w:tcMar>
          </w:tcPr>
          <w:p>
            <w:r>
              <w:rPr>
                <w:rFonts w:ascii="Calibri" w:cs="Calibri" w:eastAsia="Calibri" w:hAnsi="Calibri"/>
                <w:b w:val="false"/>
                <w:bCs w:val="false"/>
                <w:color w:val="000000"/>
                <w:sz w:val="20"/>
                <w:szCs w:val="20"/>
              </w:rPr>
              <w:t xml:space="preserve">Batch-/Merkle-Verankerung, Mehrsprachigkeit (F-10, F-11)</w:t>
            </w:r>
          </w:p>
        </w:tc>
      </w:tr>
      <w:tr>
        <w:tc>
          <w:tcPr>
            <w:tcW w:type="dxa" w:w="2200"/>
            <w:tcMar>
              <w:top w:type="dxa" w:w="80"/>
              <w:left w:type="dxa" w:w="100"/>
              <w:bottom w:type="dxa" w:w="80"/>
              <w:right w:type="dxa" w:w="100"/>
            </w:tcMar>
          </w:tcPr>
          <w:p>
            <w:r>
              <w:rPr>
                <w:rFonts w:ascii="Calibri" w:cs="Calibri" w:eastAsia="Calibri" w:hAnsi="Calibri"/>
                <w:b w:val="false"/>
                <w:bCs w:val="false"/>
                <w:color w:val="000000"/>
                <w:sz w:val="20"/>
                <w:szCs w:val="20"/>
              </w:rPr>
              <w:t xml:space="preserve">Phase 4 – Ökosystem</w:t>
            </w:r>
          </w:p>
        </w:tc>
        <w:tc>
          <w:tcPr>
            <w:tcW w:type="dxa" w:w="7900"/>
            <w:tcMar>
              <w:top w:type="dxa" w:w="80"/>
              <w:left w:type="dxa" w:w="100"/>
              <w:bottom w:type="dxa" w:w="80"/>
              <w:right w:type="dxa" w:w="100"/>
            </w:tcMar>
          </w:tcPr>
          <w:p>
            <w:r>
              <w:rPr>
                <w:rFonts w:ascii="Calibri" w:cs="Calibri" w:eastAsia="Calibri" w:hAnsi="Calibri"/>
                <w:b w:val="false"/>
                <w:bCs w:val="false"/>
                <w:color w:val="000000"/>
                <w:sz w:val="20"/>
                <w:szCs w:val="20"/>
              </w:rPr>
              <w:t xml:space="preserve">Öffentliche API, weitere Dateiformate, Team-Accounts (F-12 bis F-15)</w:t>
            </w:r>
          </w:p>
        </w:tc>
      </w:tr>
    </w:tbl>
    <w:p>
      <w:pPr>
        <w:pStyle w:val="Heading2"/>
        <w:spacing w:after="150" w:before="300"/>
      </w:pPr>
      <w:r>
        <w:rPr>
          <w:b/>
          <w:bCs/>
          <w:color w:val="1B3A5C"/>
          <w:sz w:val="25"/>
          <w:szCs w:val="25"/>
        </w:rPr>
        <w:t xml:space="preserve">3.15 Offene Punkte / Risiken</w:t>
      </w:r>
    </w:p>
    <w:p>
      <w:pPr>
        <w:pStyle w:val="ListParagraph"/>
        <w:numPr>
          <w:ilvl w:val="0"/>
          <w:numId w:val="2"/>
        </w:numPr>
        <w:spacing w:after="80"/>
      </w:pPr>
      <w:r>
        <w:rPr>
          <w:rFonts w:ascii="Calibri" w:cs="Calibri" w:eastAsia="Calibri" w:hAnsi="Calibri"/>
          <w:sz w:val="21"/>
          <w:szCs w:val="21"/>
        </w:rPr>
        <w:t xml:space="preserve">Juristische Bewertung der Aussagekraft des Zeitstempel-Nachweises (eIDAS-Einordnung) noch offen.</w:t>
      </w:r>
    </w:p>
    <w:p>
      <w:pPr>
        <w:pStyle w:val="ListParagraph"/>
        <w:numPr>
          <w:ilvl w:val="0"/>
          <w:numId w:val="2"/>
        </w:numPr>
        <w:spacing w:after="80"/>
      </w:pPr>
      <w:r>
        <w:rPr>
          <w:rFonts w:ascii="Calibri" w:cs="Calibri" w:eastAsia="Calibri" w:hAnsi="Calibri"/>
          <w:sz w:val="21"/>
          <w:szCs w:val="21"/>
        </w:rPr>
        <w:t xml:space="preserve">Kostenmodell für die Verankerung noch zu definieren: trägt die Plattform die Kaspa-Gebühren, oder zahlt der Nutzer direkt über eigenes Wallet?</w:t>
      </w:r>
    </w:p>
    <w:p>
      <w:pPr>
        <w:pStyle w:val="ListParagraph"/>
        <w:numPr>
          <w:ilvl w:val="0"/>
          <w:numId w:val="2"/>
        </w:numPr>
        <w:spacing w:after="80"/>
      </w:pPr>
      <w:r>
        <w:rPr>
          <w:rFonts w:ascii="Calibri" w:cs="Calibri" w:eastAsia="Calibri" w:hAnsi="Calibri"/>
          <w:sz w:val="21"/>
          <w:szCs w:val="21"/>
        </w:rPr>
        <w:t xml:space="preserve">Wahl zwischen eigenem Kaspa-Node vs. Anbindung an Drittanbieter-API (Verfügbarkeits-/Vertrauens-Trade-off).</w:t>
      </w:r>
    </w:p>
    <w:p>
      <w:pPr>
        <w:pStyle w:val="ListParagraph"/>
        <w:numPr>
          <w:ilvl w:val="0"/>
          <w:numId w:val="2"/>
        </w:numPr>
        <w:spacing w:after="80"/>
      </w:pPr>
      <w:r>
        <w:rPr>
          <w:rFonts w:ascii="Calibri" w:cs="Calibri" w:eastAsia="Calibri" w:hAnsi="Calibri"/>
          <w:sz w:val="21"/>
          <w:szCs w:val="21"/>
        </w:rPr>
        <w:t xml:space="preserve">Langfristige Auswirkungen des Toccata-/Covenants-Upgrades auf die Architektur sind zu beobachten.</w:t>
      </w:r>
    </w:p>
    <w:p>
      <w:r>
        <w:br w:type="page"/>
      </w:r>
    </w:p>
    <w:p>
      <w:pPr>
        <w:pStyle w:val="Heading1"/>
        <w:pBdr>
          <w:bottom w:val="single" w:color="1B3A5C" w:sz="8" w:space="4"/>
        </w:pBdr>
        <w:spacing w:after="200" w:before="400"/>
      </w:pPr>
      <w:r>
        <w:rPr>
          <w:b/>
          <w:bCs/>
          <w:color w:val="1B3A5C"/>
          <w:sz w:val="30"/>
          <w:szCs w:val="30"/>
        </w:rPr>
        <w:t xml:space="preserve">4. Anhang</w:t>
      </w:r>
    </w:p>
    <w:p>
      <w:pPr>
        <w:pStyle w:val="Heading2"/>
        <w:spacing w:after="150" w:before="300"/>
      </w:pPr>
      <w:r>
        <w:rPr>
          <w:b/>
          <w:bCs/>
          <w:color w:val="1B3A5C"/>
          <w:sz w:val="25"/>
          <w:szCs w:val="25"/>
        </w:rPr>
        <w:t xml:space="preserve">4.1 Glossar</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7500"/>
      </w:tblGrid>
      <w:tr>
        <w:trPr>
          <w:tblHeader/>
        </w:trPr>
        <w:tc>
          <w:tcPr>
            <w:tcW w:type="dxa" w:w="26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Begriff</w:t>
            </w:r>
          </w:p>
        </w:tc>
        <w:tc>
          <w:tcPr>
            <w:tcW w:type="dxa" w:w="7500"/>
            <w:shd w:fill="1B3A5C" w:val="clear"/>
            <w:tcMar>
              <w:top w:type="dxa" w:w="80"/>
              <w:left w:type="dxa" w:w="100"/>
              <w:bottom w:type="dxa" w:w="80"/>
              <w:right w:type="dxa" w:w="100"/>
            </w:tcMar>
          </w:tcPr>
          <w:p>
            <w:r>
              <w:rPr>
                <w:rFonts w:ascii="Calibri" w:cs="Calibri" w:eastAsia="Calibri" w:hAnsi="Calibri"/>
                <w:b/>
                <w:bCs/>
                <w:color w:val="FFFFFF"/>
                <w:sz w:val="20"/>
                <w:szCs w:val="20"/>
              </w:rPr>
              <w:t xml:space="preserve">Erklärung</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Hash / SHA-256</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Eindeutiger digitaler Fingerabdruck einer Datei fester Länge; jede Änderung der Datei ändert den Hash vollständig.</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Kaspa BlockDAG</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Ein auf einem gerichteten azyklischen Graphen (statt einer linearen Kette) basierendes Blockchain-Protokoll mit hoher Transaktionsgeschwindigkeit.</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Proof of Existence</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Nachweis, dass Daten (bzw. deren Hash) zu einem bestimmten Zeitpunkt existierten, ohne die Daten selbst offenzulegen.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Payload/Envelope</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Zusätzliches Datenfeld einer Transaktion, das beliebige Nutzdaten (hier: den Hash) tragen kann.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Merkle-Baum</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Baumstruktur aus Hashes, mit der viele Datensätze effizient und beweisbar zu einer einzigen Wurzel-Prüfsumme zusammengefasst werden.</w:t>
            </w:r>
          </w:p>
        </w:tc>
      </w:tr>
      <w:tr>
        <w:tc>
          <w:tcPr>
            <w:tcW w:type="dxa" w:w="2600"/>
            <w:tcMar>
              <w:top w:type="dxa" w:w="80"/>
              <w:left w:type="dxa" w:w="100"/>
              <w:bottom w:type="dxa" w:w="80"/>
              <w:right w:type="dxa" w:w="100"/>
            </w:tcMar>
          </w:tcPr>
          <w:p>
            <w:r>
              <w:rPr>
                <w:rFonts w:ascii="Calibri" w:cs="Calibri" w:eastAsia="Calibri" w:hAnsi="Calibri"/>
                <w:b w:val="false"/>
                <w:bCs w:val="false"/>
                <w:color w:val="000000"/>
                <w:sz w:val="20"/>
                <w:szCs w:val="20"/>
              </w:rPr>
              <w:t xml:space="preserve">Toccata / Covenants</w:t>
            </w:r>
          </w:p>
        </w:tc>
        <w:tc>
          <w:tcPr>
            <w:tcW w:type="dxa" w:w="7500"/>
            <w:tcMar>
              <w:top w:type="dxa" w:w="80"/>
              <w:left w:type="dxa" w:w="100"/>
              <w:bottom w:type="dxa" w:w="80"/>
              <w:right w:type="dxa" w:w="100"/>
            </w:tcMar>
          </w:tcPr>
          <w:p>
            <w:r>
              <w:rPr>
                <w:rFonts w:ascii="Calibri" w:cs="Calibri" w:eastAsia="Calibri" w:hAnsi="Calibri"/>
                <w:b w:val="false"/>
                <w:bCs w:val="false"/>
                <w:color w:val="000000"/>
                <w:sz w:val="20"/>
                <w:szCs w:val="20"/>
              </w:rPr>
              <w:t xml:space="preserve">Geplantes Kaspa-Protokoll-Upgrade, das komplexere, on-chain durchsetzbare Skriptbedingungen ermöglicht.</w:t>
            </w:r>
          </w:p>
        </w:tc>
      </w:tr>
    </w:tbl>
    <w:p>
      <w:pPr>
        <w:pStyle w:val="Heading2"/>
        <w:spacing w:after="150" w:before="300"/>
      </w:pPr>
      <w:r>
        <w:rPr>
          <w:b/>
          <w:bCs/>
          <w:color w:val="1B3A5C"/>
          <w:sz w:val="25"/>
          <w:szCs w:val="25"/>
        </w:rPr>
        <w:t xml:space="preserve">4.2 Referenzen</w:t>
      </w:r>
    </w:p>
    <w:p>
      <w:pPr>
        <w:pStyle w:val="ListParagraph"/>
        <w:numPr>
          <w:ilvl w:val="0"/>
          <w:numId w:val="2"/>
        </w:numPr>
        <w:spacing w:after="80"/>
      </w:pPr>
      <w:r>
        <w:rPr>
          <w:rFonts w:ascii="Calibri" w:cs="Calibri" w:eastAsia="Calibri" w:hAnsi="Calibri"/>
          <w:sz w:val="21"/>
          <w:szCs w:val="21"/>
        </w:rPr>
        <w:t xml:space="preserve">Kaspa-Dokumentation und Explorer (öffentlich einsehbar)</w:t>
      </w:r>
    </w:p>
    <w:p>
      <w:pPr>
        <w:pStyle w:val="ListParagraph"/>
        <w:numPr>
          <w:ilvl w:val="0"/>
          <w:numId w:val="2"/>
        </w:numPr>
        <w:spacing w:after="80"/>
      </w:pPr>
      <w:r>
        <w:rPr>
          <w:rFonts w:ascii="Calibri" w:cs="Calibri" w:eastAsia="Calibri" w:hAnsi="Calibri"/>
          <w:sz w:val="21"/>
          <w:szCs w:val="21"/>
        </w:rPr>
        <w:t xml:space="preserve">Interne Vorprojekte: KasPay (Payment-App auf Kaspa), KaspaEscrow (Multisig-Escrow-Plattform auf Kaspa)</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Seite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von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KaspaNotar – Lasten- und Pflichtenheft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2026-07-19T16:06:39.672Z</dcterms:created>
  <dcterms:modified xsi:type="dcterms:W3CDTF">2026-07-19T16:06:39.684Z</dcterms:modified>
</cp:coreProperties>
</file>

<file path=docProps/custom.xml><?xml version="1.0" encoding="utf-8"?>
<Properties xmlns="http://schemas.openxmlformats.org/officeDocument/2006/custom-properties" xmlns:vt="http://schemas.openxmlformats.org/officeDocument/2006/docPropsVTypes"/>
</file>