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602" w14:textId="61E57360" w:rsidR="004D36D7" w:rsidRPr="007629A7" w:rsidRDefault="00E5628A" w:rsidP="007005B8">
      <w:pPr>
        <w:pStyle w:val="Title"/>
      </w:pPr>
      <w:sdt>
        <w:sdt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7050" w:rsidRPr="00B97050">
            <w:t xml:space="preserve">13.2.7 </w:t>
          </w:r>
          <w:r w:rsidR="00941E07">
            <w:t>-</w:t>
          </w:r>
          <w:r w:rsidR="00B97050" w:rsidRPr="00B97050">
            <w:t xml:space="preserve"> </w:t>
          </w:r>
          <w:r w:rsidR="00A02836" w:rsidRPr="00B97050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lastRenderedPageBreak/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r w:rsidR="0068131B">
        <w:t>requirement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lastRenderedPageBreak/>
        <w:t xml:space="preserve">Scroll down to the </w:t>
      </w:r>
      <w:proofErr w:type="spellStart"/>
      <w:r>
        <w:t>FlexConnect</w:t>
      </w:r>
      <w:proofErr w:type="spellEnd"/>
      <w:r>
        <w:t xml:space="preserve"> portion of the page. Click to enable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Switching</w:t>
      </w:r>
      <w:r>
        <w:t xml:space="preserve"> and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78956433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  <w:r w:rsidR="0011188B">
        <w:t xml:space="preserve">  Have the </w:t>
      </w:r>
      <w:r w:rsidR="00E5628A">
        <w:t>pings up when you call an instructor over.</w:t>
      </w:r>
      <w:bookmarkStart w:id="1" w:name="_GoBack"/>
      <w:bookmarkEnd w:id="1"/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25B5" w14:textId="77777777" w:rsidR="00EA0BC2" w:rsidRDefault="00EA0BC2" w:rsidP="00710659">
      <w:pPr>
        <w:spacing w:after="0" w:line="240" w:lineRule="auto"/>
      </w:pPr>
      <w:r>
        <w:separator/>
      </w:r>
    </w:p>
    <w:p w14:paraId="7B0C7228" w14:textId="77777777" w:rsidR="00EA0BC2" w:rsidRDefault="00EA0BC2"/>
  </w:endnote>
  <w:endnote w:type="continuationSeparator" w:id="0">
    <w:p w14:paraId="1E763D40" w14:textId="77777777" w:rsidR="00EA0BC2" w:rsidRDefault="00EA0BC2" w:rsidP="00710659">
      <w:pPr>
        <w:spacing w:after="0" w:line="240" w:lineRule="auto"/>
      </w:pPr>
      <w:r>
        <w:continuationSeparator/>
      </w:r>
    </w:p>
    <w:p w14:paraId="391894EB" w14:textId="77777777" w:rsidR="00EA0BC2" w:rsidRDefault="00EA0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F29E" w14:textId="06AE6747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41E0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CC7C" w14:textId="7D347E7D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41E0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DC7B" w14:textId="77777777" w:rsidR="00EA0BC2" w:rsidRDefault="00EA0BC2" w:rsidP="00710659">
      <w:pPr>
        <w:spacing w:after="0" w:line="240" w:lineRule="auto"/>
      </w:pPr>
      <w:r>
        <w:separator/>
      </w:r>
    </w:p>
    <w:p w14:paraId="1C2B38DF" w14:textId="77777777" w:rsidR="00EA0BC2" w:rsidRDefault="00EA0BC2"/>
  </w:footnote>
  <w:footnote w:type="continuationSeparator" w:id="0">
    <w:p w14:paraId="2375B5BF" w14:textId="77777777" w:rsidR="00EA0BC2" w:rsidRDefault="00EA0BC2" w:rsidP="00710659">
      <w:pPr>
        <w:spacing w:after="0" w:line="240" w:lineRule="auto"/>
      </w:pPr>
      <w:r>
        <w:continuationSeparator/>
      </w:r>
    </w:p>
    <w:p w14:paraId="75CA1DFA" w14:textId="77777777" w:rsidR="00EA0BC2" w:rsidRDefault="00EA0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109B82CB" w:rsidR="007005B8" w:rsidRDefault="00941E07" w:rsidP="008402F2">
        <w:pPr>
          <w:pStyle w:val="PageHead"/>
        </w:pPr>
        <w:r>
          <w:t>13.2.7 - 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56A62" w14:textId="77777777" w:rsidR="00B97050" w:rsidRDefault="00B97050" w:rsidP="00B97050">
    <w:pPr>
      <w:pStyle w:val="LabTitle"/>
    </w:pPr>
    <w:r>
      <w:rPr>
        <w:noProof/>
      </w:rPr>
      <w:drawing>
        <wp:inline distT="0" distB="0" distL="0" distR="0" wp14:anchorId="569DFAC0" wp14:editId="05A98274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23CEFBC8" w14:textId="77777777" w:rsidR="00B97050" w:rsidRDefault="00B97050" w:rsidP="00B97050">
    <w:pPr>
      <w:pStyle w:val="LabTitle"/>
    </w:pPr>
    <w:r>
      <w:t>Name ______________ Period ___ Rack ___ Partner ____________</w:t>
    </w:r>
    <w:r w:rsidRPr="00793483">
      <w:t xml:space="preserve"> </w:t>
    </w:r>
  </w:p>
  <w:p w14:paraId="0448B3FB" w14:textId="2822F819" w:rsidR="007005B8" w:rsidRDefault="007005B8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88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1E07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050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28A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B97050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88F863C8-7857-4A99-9248-3823E1DB7F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BF3A6-069F-472C-892D-4A702911F08E}"/>
</file>

<file path=customXml/itemProps3.xml><?xml version="1.0" encoding="utf-8"?>
<ds:datastoreItem xmlns:ds="http://schemas.openxmlformats.org/officeDocument/2006/customXml" ds:itemID="{69F26100-18F1-4FE4-97B0-94B6F0D5787A}"/>
</file>

<file path=customXml/itemProps4.xml><?xml version="1.0" encoding="utf-8"?>
<ds:datastoreItem xmlns:ds="http://schemas.openxmlformats.org/officeDocument/2006/customXml" ds:itemID="{77C831E0-78E1-4AF1-B100-6DF1908E87D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40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13.2.7  Packet Tracer - Configure a Basic WLAN on the WLC</vt:lpstr>
    </vt:vector>
  </TitlesOfParts>
  <Company>Cisco Systems, Inc.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13.2.7 - Packet Tracer - Configure a Basic WLAN on the WLC</dc:title>
  <dc:creator>Martin Benson</dc:creator>
  <dc:description>2019</dc:description>
  <cp:lastModifiedBy>Hansen, Michael R</cp:lastModifiedBy>
  <cp:revision>3</cp:revision>
  <cp:lastPrinted>2020-02-06T21:56:00Z</cp:lastPrinted>
  <dcterms:created xsi:type="dcterms:W3CDTF">2020-02-06T21:58:00Z</dcterms:created>
  <dcterms:modified xsi:type="dcterms:W3CDTF">2022-01-31T22:37:00Z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