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285750"/>
                    </a:xfrm>
                    <a:prstGeom prst="rect">
                      <a:avLst/>
                    </a:prstGeom>
                  </pic:spPr>
                </pic:pic>
              </a:graphicData>
            </a:graphic>
          </wp:inline>
        </w:drawing>
      </w:r>
      <w:r>
        <w:rPr>
          <w:b/>
          <w:bCs/>
          <w:color w:val="70707A"/>
          <w:sz w:val="18"/>
          <w:szCs w:val="18"/>
        </w:rPr>
        <w:t xml:space="preserve">   AXCELAI  ·  AGENT OS  ·  OPPORTUNITY TRACKING AGENT</w:t>
      </w:r>
    </w:p>
    <w:p>
      <w:pPr>
        <w:pStyle w:val="Title"/>
        <w:pBdr>
          <w:bottom w:val="single" w:color="FF7801" w:sz="10" w:space="4"/>
        </w:pBdr>
        <w:spacing w:after="60"/>
      </w:pPr>
      <w:r>
        <w:rPr>
          <w:color w:val="212121"/>
        </w:rPr>
        <w:t xml:space="preserve">Open Questions: Opportunity Tracking Agent</w:t>
      </w:r>
    </w:p>
    <w:p>
      <w:pPr>
        <w:spacing w:after="240"/>
      </w:pPr>
      <w:r>
        <w:rPr>
          <w:i/>
          <w:iCs/>
          <w:color w:val="70707A"/>
        </w:rPr>
        <w:t xml:space="preserve">Purpose: these questions come directly from gaps and inconsistencies found while reading TrackF_1.xlsx (the Funnel, FCST_Revenue, ProjectTrack, Mass Production, and Design Lost tabs). Resolving them unblocks the judgment layer design, the same way the ROI Agent's open questions unblocked its discount factor rubric.</w:t>
      </w:r>
    </w:p>
    <w:p>
      <w:pPr>
        <w:pStyle w:val="Heading2"/>
        <w:spacing w:after="120" w:before="320"/>
      </w:pPr>
      <w:r>
        <w:rPr>
          <w:b/>
          <w:bCs/>
          <w:color w:val="C25A00"/>
        </w:rPr>
        <w:t xml:space="preserve">On naming and scope</w:t>
      </w:r>
    </w:p>
    <w:p>
      <w:pPr>
        <w:pStyle w:val="ListParagraph"/>
        <w:numPr>
          <w:ilvl w:val="0"/>
          <w:numId w:val="2"/>
        </w:numPr>
        <w:spacing w:after="160"/>
      </w:pPr>
      <w:r>
        <w:rPr>
          <w:color w:val="212121"/>
        </w:rPr>
        <w:t xml:space="preserve">Gene's July 17 email refers to an “opp'y tracking” agent, and Akanksha's later email refers to a “Business/Project Tracking” agent. TrackF_1.xlsx appears to cover both: the sales funnel and pipeline (Funnel, ProjectTrack tabs) and the won/lost outcome tracking (Mass Production, Design Lost tabs). Is this one agent with that full scope, which we are calling the Opportunity Tracking Agent, or should the sales funnel and the post win project tracking be split into two separate agents?</w:t>
      </w:r>
    </w:p>
    <w:p>
      <w:pPr>
        <w:pStyle w:val="ListParagraph"/>
        <w:numPr>
          <w:ilvl w:val="0"/>
          <w:numId w:val="2"/>
        </w:numPr>
        <w:spacing w:after="160"/>
      </w:pPr>
      <w:r>
        <w:rPr>
          <w:color w:val="212121"/>
        </w:rPr>
        <w:t xml:space="preserve">Does this agent own the regional quarterly revenue forecast (FCST_Revenue tab) as well, or does that belong to a separate finance owned forecasting process that this agent only feeds into?</w:t>
      </w:r>
    </w:p>
    <w:p>
      <w:pPr>
        <w:pStyle w:val="Heading2"/>
        <w:spacing w:after="120" w:before="320"/>
      </w:pPr>
      <w:r>
        <w:rPr>
          <w:b/>
          <w:bCs/>
          <w:color w:val="C25A00"/>
        </w:rPr>
        <w:t xml:space="preserve">On confidence calibration and judgment</w:t>
      </w:r>
    </w:p>
    <w:p>
      <w:pPr>
        <w:pStyle w:val="ListParagraph"/>
        <w:numPr>
          <w:ilvl w:val="0"/>
          <w:numId w:val="2"/>
        </w:numPr>
        <w:spacing w:after="160"/>
      </w:pPr>
      <w:r>
        <w:rPr>
          <w:color w:val="212121"/>
        </w:rPr>
        <w:t xml:space="preserve">The Confidence Level column is currently a single human entered number per project. Should the agent calibrate this number using a rubric, similar to the ROI Agent's discount factors, such as design status versus validation stage consistency, named competitor threats, and submitter history? Or should confidence stay fully human controlled with the agent only flagging outliers for review?</w:t>
      </w:r>
    </w:p>
    <w:p>
      <w:pPr>
        <w:pStyle w:val="ListParagraph"/>
        <w:numPr>
          <w:ilvl w:val="0"/>
          <w:numId w:val="2"/>
        </w:numPr>
        <w:spacing w:after="160"/>
      </w:pPr>
      <w:r>
        <w:rPr>
          <w:color w:val="212121"/>
        </w:rPr>
        <w:t xml:space="preserve">The sheet uses two parallel fields: Design Status (Design Win, Design In, Sample, Evaluation, Promotion) and Stage (Concept, EVT, DVT, PVT). What are the valid combinations, and what should the agent do when it sees an inconsistent pairing, for example a Design Win logged against Concept stage?</w:t>
      </w:r>
    </w:p>
    <w:p>
      <w:pPr>
        <w:pStyle w:val="ListParagraph"/>
        <w:numPr>
          <w:ilvl w:val="0"/>
          <w:numId w:val="2"/>
        </w:numPr>
        <w:spacing w:after="160"/>
      </w:pPr>
      <w:r>
        <w:rPr>
          <w:color w:val="212121"/>
        </w:rPr>
        <w:t xml:space="preserve">For an established design win, is a Confidence Level of exactly 1.0 always appropriate, or are there scenarios (dual sourcing, contract cancellation risk) where even a locked design win should carry some discount?</w:t>
      </w:r>
    </w:p>
    <w:p>
      <w:pPr>
        <w:pStyle w:val="Heading2"/>
        <w:spacing w:after="120" w:before="320"/>
      </w:pPr>
      <w:r>
        <w:rPr>
          <w:b/>
          <w:bCs/>
          <w:color w:val="C25A00"/>
        </w:rPr>
        <w:t xml:space="preserve">On the FCST_Revenue tab and regional roll up</w:t>
      </w:r>
    </w:p>
    <w:p>
      <w:pPr>
        <w:pStyle w:val="ListParagraph"/>
        <w:numPr>
          <w:ilvl w:val="0"/>
          <w:numId w:val="2"/>
        </w:numPr>
        <w:spacing w:after="160"/>
      </w:pPr>
      <w:r>
        <w:rPr>
          <w:color w:val="212121"/>
        </w:rPr>
        <w:t xml:space="preserve">The FCST_Revenue tab has broken formulas (#REF! errors) in the Europe, Taiwan, and Japan regional roll up rows, and the Japan row total references the wrong range. Before building the agent's roll up logic on this template, can you confirm the intended regional structure, ideally with a corrected version of this tab?</w:t>
      </w:r>
    </w:p>
    <w:p>
      <w:pPr>
        <w:pStyle w:val="ListParagraph"/>
        <w:numPr>
          <w:ilvl w:val="0"/>
          <w:numId w:val="2"/>
        </w:numPr>
        <w:spacing w:after="160"/>
      </w:pPr>
      <w:r>
        <w:rPr>
          <w:color w:val="212121"/>
        </w:rPr>
        <w:t xml:space="preserve">Sheet1 shows “Projection” and “Stretch” numbers by quarter that are close but not identical, and do not tie by formula to any other tab in the file. What is the intended definition of each? For example, is Stretch the unweighted Sales Revenue and Projection the confidence weighted Adjusted Revenue, or are these two different vintages of the same forecast?</w:t>
      </w:r>
    </w:p>
    <w:p>
      <w:pPr>
        <w:pStyle w:val="ListParagraph"/>
        <w:numPr>
          <w:ilvl w:val="0"/>
          <w:numId w:val="2"/>
        </w:numPr>
        <w:spacing w:after="160"/>
      </w:pPr>
      <w:r>
        <w:rPr>
          <w:color w:val="212121"/>
        </w:rPr>
        <w:t xml:space="preserve">The Unit/Set column appears in both the Funnel and FCST_Revenue tabs but is not used in any current formula. Is it metadata only, or should it factor into a units to EAU conversion the agent needs to apply?</w:t>
      </w:r>
    </w:p>
    <w:p>
      <w:pPr>
        <w:pStyle w:val="Heading2"/>
        <w:spacing w:after="120" w:before="320"/>
      </w:pPr>
      <w:r>
        <w:rPr>
          <w:b/>
          <w:bCs/>
          <w:color w:val="C25A00"/>
        </w:rPr>
        <w:t xml:space="preserve">On stage transitions and lifecycle</w:t>
      </w:r>
    </w:p>
    <w:p>
      <w:pPr>
        <w:pStyle w:val="ListParagraph"/>
        <w:numPr>
          <w:ilvl w:val="0"/>
          <w:numId w:val="2"/>
        </w:numPr>
        <w:spacing w:after="160"/>
      </w:pPr>
      <w:r>
        <w:rPr>
          <w:color w:val="212121"/>
        </w:rPr>
        <w:t xml:space="preserve">Should the agent auto promote a project between tabs, moving it from ProjectTrack to Mass Production once Design Status reaches Mass Production, or to Design Lost once confidence goes to zero or status becomes Lost, or should that remain a manual move made by a person?</w:t>
      </w:r>
    </w:p>
    <w:p>
      <w:pPr>
        <w:pStyle w:val="ListParagraph"/>
        <w:numPr>
          <w:ilvl w:val="0"/>
          <w:numId w:val="2"/>
        </w:numPr>
        <w:spacing w:after="160"/>
      </w:pPr>
      <w:r>
        <w:rPr>
          <w:color w:val="212121"/>
        </w:rPr>
        <w:t xml:space="preserve">Design Lost entries currently just zero out confidence with no reason captured. Should the agent require a reason code for losses (price, technical fit, relationship, timing) so a win rate and loss reason model can be built from it over time?</w:t>
      </w:r>
    </w:p>
    <w:p>
      <w:pPr>
        <w:pStyle w:val="Heading2"/>
        <w:spacing w:after="120" w:before="320"/>
      </w:pPr>
      <w:r>
        <w:rPr>
          <w:b/>
          <w:bCs/>
          <w:color w:val="C25A00"/>
        </w:rPr>
        <w:t xml:space="preserve">On integration with the ROI Agent</w:t>
      </w:r>
    </w:p>
    <w:p>
      <w:pPr>
        <w:pStyle w:val="ListParagraph"/>
        <w:numPr>
          <w:ilvl w:val="0"/>
          <w:numId w:val="2"/>
        </w:numPr>
        <w:spacing w:after="160"/>
      </w:pPr>
      <w:r>
        <w:rPr>
          <w:color w:val="212121"/>
        </w:rPr>
        <w:t xml:space="preserve">The ROI Agent's revenue forecast intake is designed to accept a customer and year list of ASP and units. Should this agent's Adjusted Revenue, by project and by quarter, feed the ROI Agent directly once a project reaches Design Win, or does the ROI Agent still want its own independently entered forecast as a check against this one?</w:t>
      </w:r>
    </w:p>
    <w:p>
      <w:pPr>
        <w:pStyle w:val="Heading2"/>
        <w:spacing w:after="120" w:before="320"/>
      </w:pPr>
      <w:r>
        <w:rPr>
          <w:b/>
          <w:bCs/>
          <w:color w:val="C25A00"/>
        </w:rPr>
        <w:t xml:space="preserve">On data ownership and cadence</w:t>
      </w:r>
    </w:p>
    <w:p>
      <w:pPr>
        <w:pStyle w:val="ListParagraph"/>
        <w:numPr>
          <w:ilvl w:val="0"/>
          <w:numId w:val="2"/>
        </w:numPr>
        <w:spacing w:after="160"/>
      </w:pPr>
      <w:r>
        <w:rPr>
          <w:color w:val="212121"/>
        </w:rPr>
        <w:t xml:space="preserve">Who enters Funnel and ProjectTrack updates today, regional sales owners? Is the Confidence Level number entered by that same person, or reviewed and adjusted by someone else, such as a sales manager, before it is considered final?</w:t>
      </w:r>
    </w:p>
    <w:p>
      <w:pPr>
        <w:pStyle w:val="ListParagraph"/>
        <w:numPr>
          <w:ilvl w:val="0"/>
          <w:numId w:val="2"/>
        </w:numPr>
        <w:spacing w:after="160"/>
      </w:pPr>
      <w:r>
        <w:rPr>
          <w:color w:val="212121"/>
        </w:rPr>
        <w:t xml:space="preserve">The “As of” date on the Funnel tab suggests a periodic manual refresh. Should the agent's tracking loop match that same cadence, or push toward more frequent, agent assisted updates once this is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206cacd412a88f10ff03ce94c5cb13709202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2026-08-04T19:52:43.563Z</dcterms:created>
  <dcterms:modified xsi:type="dcterms:W3CDTF">2026-08-04T19:52:43.566Z</dcterms:modified>
</cp:coreProperties>
</file>

<file path=docProps/custom.xml><?xml version="1.0" encoding="utf-8"?>
<Properties xmlns="http://schemas.openxmlformats.org/officeDocument/2006/custom-properties" xmlns:vt="http://schemas.openxmlformats.org/officeDocument/2006/docPropsVTypes"/>
</file>