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D78"/>
          <w:sz w:val="48"/>
        </w:rPr>
        <w:t>Opportunity Tracking Agent</w:t>
      </w:r>
    </w:p>
    <w:p>
      <w:pPr>
        <w:spacing w:after="280"/>
      </w:pPr>
      <w:r>
        <w:rPr>
          <w:color w:val="5A5A5A"/>
          <w:sz w:val="26"/>
        </w:rPr>
        <w:t>Open questions: answered, partly answered, and still open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016"/>
            <w:vAlign w:val="center"/>
            <w:tcMar>
              <w:top w:w="80" w:type="dxa"/>
              <w:start w:w="120" w:type="dxa"/>
              <w:bottom w:w="80" w:type="dxa"/>
              <w:end w:w="120" w:type="dxa"/>
            </w:tcMar>
            <w:shd w:fill="E8EEF5"/>
          </w:tcPr>
          <w:p>
            <w:pPr>
              <w:spacing w:after="0"/>
            </w:pPr>
            <w:r>
              <w:rPr>
                <w:b/>
                <w:color w:val="141E2D"/>
                <w:sz w:val="19"/>
              </w:rPr>
              <w:t>Field</w:t>
            </w:r>
          </w:p>
        </w:tc>
        <w:tc>
          <w:tcPr>
            <w:tcW w:type="dxa" w:w="7344"/>
            <w:vAlign w:val="center"/>
            <w:tcMar>
              <w:top w:w="80" w:type="dxa"/>
              <w:start w:w="120" w:type="dxa"/>
              <w:bottom w:w="80" w:type="dxa"/>
              <w:end w:w="120" w:type="dxa"/>
            </w:tcMar>
            <w:shd w:fill="E8EEF5"/>
          </w:tcPr>
          <w:p>
            <w:pPr>
              <w:spacing w:after="0"/>
            </w:pPr>
            <w:r>
              <w:rPr>
                <w:b/>
                <w:color w:val="141E2D"/>
                <w:sz w:val="19"/>
              </w:rPr>
              <w:t>Detail</w:t>
            </w:r>
          </w:p>
        </w:tc>
      </w:tr>
      <w:tr>
        <w:tc>
          <w:tcPr>
            <w:tcW w:type="dxa" w:w="4680"/>
            <w:shd w:fill="FFFFFF"/>
          </w:tcPr>
          <w:p>
            <w:pPr>
              <w:spacing w:after="0"/>
            </w:pPr>
            <w:r>
              <w:rPr>
                <w:color w:val="141E2D"/>
                <w:sz w:val="18"/>
              </w:rPr>
              <w:t>Purpose</w:t>
            </w:r>
          </w:p>
        </w:tc>
        <w:tc>
          <w:tcPr>
            <w:tcW w:type="dxa" w:w="4680"/>
            <w:shd w:fill="FFFFFF"/>
          </w:tcPr>
          <w:p>
            <w:pPr>
              <w:spacing w:after="0"/>
            </w:pPr>
            <w:r>
              <w:rPr>
                <w:color w:val="141E2D"/>
                <w:sz w:val="18"/>
              </w:rPr>
              <w:t>Track every question raised on how the TrackF data should be used, what David Nam answered, and what is still missing before the judgment layer can be built.</w:t>
            </w:r>
          </w:p>
        </w:tc>
      </w:tr>
      <w:tr>
        <w:tc>
          <w:tcPr>
            <w:tcW w:type="dxa" w:w="4680"/>
            <w:shd w:fill="FFFFFF"/>
          </w:tcPr>
          <w:p>
            <w:pPr>
              <w:spacing w:after="0"/>
            </w:pPr>
            <w:r>
              <w:rPr>
                <w:color w:val="141E2D"/>
                <w:sz w:val="18"/>
              </w:rPr>
              <w:t>Source basis</w:t>
            </w:r>
          </w:p>
        </w:tc>
        <w:tc>
          <w:tcPr>
            <w:tcW w:type="dxa" w:w="4680"/>
            <w:shd w:fill="FFFFFF"/>
          </w:tcPr>
          <w:p>
            <w:pPr>
              <w:spacing w:after="0"/>
            </w:pPr>
            <w:r>
              <w:rPr>
                <w:color w:val="141E2D"/>
                <w:sz w:val="18"/>
              </w:rPr>
              <w:t>Step 1 open questions (5 Aug 2026), David Nam's answers (5 Aug 2026, forwarded 10 Aug), the Step 3 POC code, the TrackF parameter relation model, and TrackF (1).xlsx.</w:t>
            </w:r>
          </w:p>
        </w:tc>
      </w:tr>
      <w:tr>
        <w:tc>
          <w:tcPr>
            <w:tcW w:type="dxa" w:w="4680"/>
            <w:shd w:fill="FFFFFF"/>
          </w:tcPr>
          <w:p>
            <w:pPr>
              <w:spacing w:after="0"/>
            </w:pPr>
            <w:r>
              <w:rPr>
                <w:color w:val="141E2D"/>
                <w:sz w:val="18"/>
              </w:rPr>
              <w:t>Status</w:t>
            </w:r>
          </w:p>
        </w:tc>
        <w:tc>
          <w:tcPr>
            <w:tcW w:type="dxa" w:w="4680"/>
            <w:shd w:fill="FFFFFF"/>
          </w:tcPr>
          <w:p>
            <w:pPr>
              <w:spacing w:after="0"/>
            </w:pPr>
            <w:r>
              <w:rPr>
                <w:color w:val="141E2D"/>
                <w:sz w:val="18"/>
              </w:rPr>
              <w:t>6 answered, 7 partly answered, 15 open, 4 for us to decide internally.</w:t>
            </w:r>
          </w:p>
        </w:tc>
      </w:tr>
      <w:tr>
        <w:tc>
          <w:tcPr>
            <w:tcW w:type="dxa" w:w="4680"/>
            <w:shd w:fill="FFFFFF"/>
          </w:tcPr>
          <w:p>
            <w:pPr>
              <w:spacing w:after="0"/>
            </w:pPr>
            <w:r>
              <w:rPr>
                <w:color w:val="141E2D"/>
                <w:sz w:val="18"/>
              </w:rPr>
              <w:t>Version</w:t>
            </w:r>
          </w:p>
        </w:tc>
        <w:tc>
          <w:tcPr>
            <w:tcW w:type="dxa" w:w="4680"/>
            <w:shd w:fill="FFFFFF"/>
          </w:tcPr>
          <w:p>
            <w:pPr>
              <w:spacing w:after="0"/>
            </w:pPr>
            <w:r>
              <w:rPr>
                <w:color w:val="141E2D"/>
                <w:sz w:val="18"/>
              </w:rPr>
              <w:t>Rev 02, August 2026</w:t>
            </w:r>
          </w:p>
        </w:tc>
      </w:tr>
    </w:tbl>
    <w:p/>
    <w:p>
      <w:pPr>
        <w:pStyle w:val="Heading1"/>
      </w:pPr>
      <w:r>
        <w:t>How to read this</w:t>
      </w:r>
    </w:p>
    <w:p>
      <w:r>
        <w:rPr>
          <w:i w:val="0"/>
          <w:color w:val="141E2D"/>
          <w:sz w:val="21"/>
        </w:rPr>
        <w:t>Section 1 is settled. Section 2 has an answer that does not yet go far enough to build from, and each entry names the specific thing still missing. Section 3 is the list to send back to David and Gene. Section 4 is ours, and needs no one outside the team.</w:t>
      </w:r>
    </w:p>
    <w:p>
      <w:r>
        <w:rPr>
          <w:i w:val="0"/>
          <w:color w:val="141E2D"/>
          <w:sz w:val="21"/>
        </w:rPr>
        <w:t>Every question carries the reason it was asked. None of them came from a checklist. Each one traces to a specific thing in TrackF (1).xlsx that could not be read two ways, a rule in the POC that had to be written one way or the other, or a number that came out wrong on the live run.</w:t>
      </w:r>
    </w:p>
    <w:p>
      <w:r>
        <w:rPr>
          <w:i w:val="0"/>
          <w:color w:val="141E2D"/>
          <w:sz w:val="21"/>
        </w:rPr>
        <w:t>The three that block the most work are 2.1, 2.3 and 2.6. Until the stage to confidence table is agreed and someone decides whether a person signs off before a record moves, the judgment layer cannot be finished either way.</w:t>
      </w:r>
    </w:p>
    <w:p>
      <w:pPr>
        <w:pStyle w:val="Heading1"/>
      </w:pPr>
      <w:r>
        <w:t>1. Answered</w:t>
      </w:r>
    </w:p>
    <w:p>
      <w:r>
        <w:rPr>
          <w:i w:val="0"/>
          <w:color w:val="141E2D"/>
          <w:sz w:val="21"/>
        </w:rPr>
        <w:t>These are closed. The answer is quoted or paraphrased from David's reply, and the build should follow it as written.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576"/>
            <w:vAlign w:val="center"/>
            <w:tcMar>
              <w:top w:w="80" w:type="dxa"/>
              <w:start w:w="120" w:type="dxa"/>
              <w:bottom w:w="80" w:type="dxa"/>
              <w:end w:w="120" w:type="dxa"/>
            </w:tcMar>
            <w:shd w:fill="E6F2E6"/>
          </w:tcPr>
          <w:p>
            <w:pPr>
              <w:spacing w:after="0"/>
            </w:pPr>
            <w:r>
              <w:rPr>
                <w:b/>
                <w:color w:val="141E2D"/>
                <w:sz w:val="19"/>
              </w:rPr>
              <w:t>#</w:t>
            </w:r>
          </w:p>
        </w:tc>
        <w:tc>
          <w:tcPr>
            <w:tcW w:type="dxa" w:w="2448"/>
            <w:vAlign w:val="center"/>
            <w:tcMar>
              <w:top w:w="80" w:type="dxa"/>
              <w:start w:w="120" w:type="dxa"/>
              <w:bottom w:w="80" w:type="dxa"/>
              <w:end w:w="120" w:type="dxa"/>
            </w:tcMar>
            <w:shd w:fill="E6F2E6"/>
          </w:tcPr>
          <w:p>
            <w:pPr>
              <w:spacing w:after="0"/>
            </w:pPr>
            <w:r>
              <w:rPr>
                <w:b/>
                <w:color w:val="141E2D"/>
                <w:sz w:val="19"/>
              </w:rPr>
              <w:t>Question</w:t>
            </w:r>
          </w:p>
        </w:tc>
        <w:tc>
          <w:tcPr>
            <w:tcW w:type="dxa" w:w="3168"/>
            <w:vAlign w:val="center"/>
            <w:tcMar>
              <w:top w:w="80" w:type="dxa"/>
              <w:start w:w="120" w:type="dxa"/>
              <w:bottom w:w="80" w:type="dxa"/>
              <w:end w:w="120" w:type="dxa"/>
            </w:tcMar>
            <w:shd w:fill="E6F2E6"/>
          </w:tcPr>
          <w:p>
            <w:pPr>
              <w:spacing w:after="0"/>
            </w:pPr>
            <w:r>
              <w:rPr>
                <w:b/>
                <w:color w:val="141E2D"/>
                <w:sz w:val="19"/>
              </w:rPr>
              <w:t>Why we asked</w:t>
            </w:r>
          </w:p>
        </w:tc>
        <w:tc>
          <w:tcPr>
            <w:tcW w:type="dxa" w:w="3168"/>
            <w:vAlign w:val="center"/>
            <w:tcMar>
              <w:top w:w="80" w:type="dxa"/>
              <w:start w:w="120" w:type="dxa"/>
              <w:bottom w:w="80" w:type="dxa"/>
              <w:end w:w="120" w:type="dxa"/>
            </w:tcMar>
            <w:shd w:fill="E6F2E6"/>
          </w:tcPr>
          <w:p>
            <w:pPr>
              <w:spacing w:after="0"/>
            </w:pPr>
            <w:r>
              <w:rPr>
                <w:b/>
                <w:color w:val="141E2D"/>
                <w:sz w:val="19"/>
              </w:rPr>
              <w:t>Answer</w:t>
            </w:r>
          </w:p>
        </w:tc>
      </w:tr>
      <w:tr>
        <w:tc>
          <w:tcPr>
            <w:tcW w:type="dxa" w:w="2340"/>
            <w:shd w:fill="FFFFFF"/>
          </w:tcPr>
          <w:p>
            <w:pPr>
              <w:spacing w:after="0"/>
            </w:pPr>
            <w:r>
              <w:rPr>
                <w:color w:val="141E2D"/>
                <w:sz w:val="18"/>
              </w:rPr>
              <w:t>1.1</w:t>
            </w:r>
          </w:p>
        </w:tc>
        <w:tc>
          <w:tcPr>
            <w:tcW w:type="dxa" w:w="2340"/>
            <w:shd w:fill="FFFFFF"/>
          </w:tcPr>
          <w:p>
            <w:pPr>
              <w:spacing w:after="0"/>
            </w:pPr>
            <w:r>
              <w:rPr>
                <w:color w:val="141E2D"/>
                <w:sz w:val="18"/>
              </w:rPr>
              <w:t>Is this one agent, or should the sales funnel and post-win tracking be split into two?</w:t>
            </w:r>
          </w:p>
        </w:tc>
        <w:tc>
          <w:tcPr>
            <w:tcW w:type="dxa" w:w="2340"/>
            <w:shd w:fill="FFFFFF"/>
          </w:tcPr>
          <w:p>
            <w:pPr>
              <w:spacing w:after="0"/>
            </w:pPr>
            <w:r>
              <w:rPr>
                <w:color w:val="141E2D"/>
                <w:sz w:val="18"/>
              </w:rPr>
              <w:t>Gene's July 17 mail calls it an opportunity tracking agent and a later mail calls it business or project tracking. The workbook covers both. One agent or two changes the data model, the team split and the delivery date.</w:t>
            </w:r>
          </w:p>
        </w:tc>
        <w:tc>
          <w:tcPr>
            <w:tcW w:type="dxa" w:w="2340"/>
            <w:shd w:fill="FFFFFF"/>
          </w:tcPr>
          <w:p>
            <w:pPr>
              <w:spacing w:after="0"/>
            </w:pPr>
            <w:r>
              <w:rPr>
                <w:color w:val="141E2D"/>
                <w:sz w:val="18"/>
              </w:rPr>
              <w:t>One agent. "I think should be one agent Opportunity Tracking Agent."</w:t>
            </w:r>
          </w:p>
        </w:tc>
      </w:tr>
      <w:tr>
        <w:tc>
          <w:tcPr>
            <w:tcW w:type="dxa" w:w="2340"/>
            <w:shd w:fill="FFFFFF"/>
          </w:tcPr>
          <w:p>
            <w:pPr>
              <w:spacing w:after="0"/>
            </w:pPr>
            <w:r>
              <w:rPr>
                <w:color w:val="141E2D"/>
                <w:sz w:val="18"/>
              </w:rPr>
              <w:t>1.2</w:t>
            </w:r>
          </w:p>
        </w:tc>
        <w:tc>
          <w:tcPr>
            <w:tcW w:type="dxa" w:w="2340"/>
            <w:shd w:fill="FFFFFF"/>
          </w:tcPr>
          <w:p>
            <w:pPr>
              <w:spacing w:after="0"/>
            </w:pPr>
            <w:r>
              <w:rPr>
                <w:color w:val="141E2D"/>
                <w:sz w:val="18"/>
              </w:rPr>
              <w:t>Does this agent own the regional quarterly revenue forecast on the FCST_Revenue tab?</w:t>
            </w:r>
          </w:p>
        </w:tc>
        <w:tc>
          <w:tcPr>
            <w:tcW w:type="dxa" w:w="2340"/>
            <w:shd w:fill="FFFFFF"/>
          </w:tcPr>
          <w:p>
            <w:pPr>
              <w:spacing w:after="0"/>
            </w:pPr>
            <w:r>
              <w:rPr>
                <w:color w:val="141E2D"/>
                <w:sz w:val="18"/>
              </w:rPr>
              <w:t>That tab has broken roll-up rows. Repairing them and rebuilding the roll-up logic is only worth doing if this agent owns the forecast.</w:t>
            </w:r>
          </w:p>
        </w:tc>
        <w:tc>
          <w:tcPr>
            <w:tcW w:type="dxa" w:w="2340"/>
            <w:shd w:fill="FFFFFF"/>
          </w:tcPr>
          <w:p>
            <w:pPr>
              <w:spacing w:after="0"/>
            </w:pPr>
            <w:r>
              <w:rPr>
                <w:color w:val="141E2D"/>
                <w:sz w:val="18"/>
              </w:rPr>
              <w:t>No. It feeds a revenue forecasting agent managed by finance. The tracking data itself is managed by a sales person.</w:t>
            </w:r>
          </w:p>
        </w:tc>
      </w:tr>
      <w:tr>
        <w:tc>
          <w:tcPr>
            <w:tcW w:type="dxa" w:w="2340"/>
            <w:shd w:fill="FFFFFF"/>
          </w:tcPr>
          <w:p>
            <w:pPr>
              <w:spacing w:after="0"/>
            </w:pPr>
            <w:r>
              <w:rPr>
                <w:color w:val="141E2D"/>
                <w:sz w:val="18"/>
              </w:rPr>
              <w:t>1.3</w:t>
            </w:r>
          </w:p>
        </w:tc>
        <w:tc>
          <w:tcPr>
            <w:tcW w:type="dxa" w:w="2340"/>
            <w:shd w:fill="FFFFFF"/>
          </w:tcPr>
          <w:p>
            <w:pPr>
              <w:spacing w:after="0"/>
            </w:pPr>
            <w:r>
              <w:rPr>
                <w:color w:val="141E2D"/>
                <w:sz w:val="18"/>
              </w:rPr>
              <w:t>Is Unit/Set metadata only, or does it convert units to EAU?</w:t>
            </w:r>
          </w:p>
        </w:tc>
        <w:tc>
          <w:tcPr>
            <w:tcW w:type="dxa" w:w="2340"/>
            <w:shd w:fill="FFFFFF"/>
          </w:tcPr>
          <w:p>
            <w:pPr>
              <w:spacing w:after="0"/>
            </w:pPr>
            <w:r>
              <w:rPr>
                <w:color w:val="141E2D"/>
                <w:sz w:val="18"/>
              </w:rPr>
              <w:t>The column is filled on every row and reaches no formula. If it were a missing multiplier, every revenue figure in the workbook would be wrong by that factor, and the calc engine would have been built on it.</w:t>
            </w:r>
          </w:p>
        </w:tc>
        <w:tc>
          <w:tcPr>
            <w:tcW w:type="dxa" w:w="2340"/>
            <w:shd w:fill="FFFFFF"/>
          </w:tcPr>
          <w:p>
            <w:pPr>
              <w:spacing w:after="0"/>
            </w:pPr>
            <w:r>
              <w:rPr>
                <w:color w:val="141E2D"/>
                <w:sz w:val="18"/>
              </w:rPr>
              <w:t>Divide the volume by units per set to get set volume. 1M EAU at 5 units per set is 200K vehicle sets. It is an attach rate, not a missing multiplier in the revenue formula.</w:t>
            </w:r>
          </w:p>
        </w:tc>
      </w:tr>
      <w:tr>
        <w:tc>
          <w:tcPr>
            <w:tcW w:type="dxa" w:w="2340"/>
            <w:shd w:fill="FFFFFF"/>
          </w:tcPr>
          <w:p>
            <w:pPr>
              <w:spacing w:after="0"/>
            </w:pPr>
            <w:r>
              <w:rPr>
                <w:color w:val="141E2D"/>
                <w:sz w:val="18"/>
              </w:rPr>
              <w:t>1.4</w:t>
            </w:r>
          </w:p>
        </w:tc>
        <w:tc>
          <w:tcPr>
            <w:tcW w:type="dxa" w:w="2340"/>
            <w:shd w:fill="FFFFFF"/>
          </w:tcPr>
          <w:p>
            <w:pPr>
              <w:spacing w:after="0"/>
            </w:pPr>
            <w:r>
              <w:rPr>
                <w:color w:val="141E2D"/>
                <w:sz w:val="18"/>
              </w:rPr>
              <w:t>Should Design Lost entries require a reason code?</w:t>
            </w:r>
          </w:p>
        </w:tc>
        <w:tc>
          <w:tcPr>
            <w:tcW w:type="dxa" w:w="2340"/>
            <w:shd w:fill="FFFFFF"/>
          </w:tcPr>
          <w:p>
            <w:pPr>
              <w:spacing w:after="0"/>
            </w:pPr>
            <w:r>
              <w:rPr>
                <w:color w:val="141E2D"/>
                <w:sz w:val="18"/>
              </w:rPr>
              <w:t>Lost rows only zero out confidence today. A reason has to be captured at the moment of the loss or it is gone, and a win rate model built later would have nothing to learn from.</w:t>
            </w:r>
          </w:p>
        </w:tc>
        <w:tc>
          <w:tcPr>
            <w:tcW w:type="dxa" w:w="2340"/>
            <w:shd w:fill="FFFFFF"/>
          </w:tcPr>
          <w:p>
            <w:pPr>
              <w:spacing w:after="0"/>
            </w:pPr>
            <w:r>
              <w:rPr>
                <w:color w:val="141E2D"/>
                <w:sz w:val="18"/>
              </w:rPr>
              <w:t>Yes. "Reason code should be captured."</w:t>
            </w:r>
          </w:p>
        </w:tc>
      </w:tr>
      <w:tr>
        <w:tc>
          <w:tcPr>
            <w:tcW w:type="dxa" w:w="2340"/>
            <w:shd w:fill="FFFFFF"/>
          </w:tcPr>
          <w:p>
            <w:pPr>
              <w:spacing w:after="0"/>
            </w:pPr>
            <w:r>
              <w:rPr>
                <w:color w:val="141E2D"/>
                <w:sz w:val="18"/>
              </w:rPr>
              <w:t>1.5</w:t>
            </w:r>
          </w:p>
        </w:tc>
        <w:tc>
          <w:tcPr>
            <w:tcW w:type="dxa" w:w="2340"/>
            <w:shd w:fill="FFFFFF"/>
          </w:tcPr>
          <w:p>
            <w:pPr>
              <w:spacing w:after="0"/>
            </w:pPr>
            <w:r>
              <w:rPr>
                <w:color w:val="141E2D"/>
                <w:sz w:val="18"/>
              </w:rPr>
              <w:t>Should Adjusted Revenue feed the ROI Agent directly, or does the ROI Agent keep its own number?</w:t>
            </w:r>
          </w:p>
        </w:tc>
        <w:tc>
          <w:tcPr>
            <w:tcW w:type="dxa" w:w="2340"/>
            <w:shd w:fill="FFFFFF"/>
          </w:tcPr>
          <w:p>
            <w:pPr>
              <w:spacing w:after="0"/>
            </w:pPr>
            <w:r>
              <w:rPr>
                <w:color w:val="141E2D"/>
                <w:sz w:val="18"/>
              </w:rPr>
              <w:t>The ROI Agent's revenue intake takes the same shape this agent produces. A direct feed means one contract designed once and shared. Independent entry means both sides need their own intake and a comparison report.</w:t>
            </w:r>
          </w:p>
        </w:tc>
        <w:tc>
          <w:tcPr>
            <w:tcW w:type="dxa" w:w="2340"/>
            <w:shd w:fill="FFFFFF"/>
          </w:tcPr>
          <w:p>
            <w:pPr>
              <w:spacing w:after="0"/>
            </w:pPr>
            <w:r>
              <w:rPr>
                <w:color w:val="141E2D"/>
                <w:sz w:val="18"/>
              </w:rPr>
              <w:t>Keep them separate, with a cross validation review between the two.</w:t>
            </w:r>
          </w:p>
        </w:tc>
      </w:tr>
      <w:tr>
        <w:tc>
          <w:tcPr>
            <w:tcW w:type="dxa" w:w="2340"/>
            <w:shd w:fill="FFFFFF"/>
          </w:tcPr>
          <w:p>
            <w:pPr>
              <w:spacing w:after="0"/>
            </w:pPr>
            <w:r>
              <w:rPr>
                <w:color w:val="141E2D"/>
                <w:sz w:val="18"/>
              </w:rPr>
              <w:t>1.6</w:t>
            </w:r>
          </w:p>
        </w:tc>
        <w:tc>
          <w:tcPr>
            <w:tcW w:type="dxa" w:w="2340"/>
            <w:shd w:fill="FFFFFF"/>
          </w:tcPr>
          <w:p>
            <w:pPr>
              <w:spacing w:after="0"/>
            </w:pPr>
            <w:r>
              <w:rPr>
                <w:color w:val="141E2D"/>
                <w:sz w:val="18"/>
              </w:rPr>
              <w:t>Should the tracking loop match the manual refresh cadence on the Funnel tab?</w:t>
            </w:r>
          </w:p>
        </w:tc>
        <w:tc>
          <w:tcPr>
            <w:tcW w:type="dxa" w:w="2340"/>
            <w:shd w:fill="FFFFFF"/>
          </w:tcPr>
          <w:p>
            <w:pPr>
              <w:spacing w:after="0"/>
            </w:pPr>
            <w:r>
              <w:rPr>
                <w:color w:val="141E2D"/>
                <w:sz w:val="18"/>
              </w:rPr>
              <w:t>The As of date suggests a periodic manual refresh. The scheduler, the snapshot design and the window that decides when a project counts as stalled all key off this.</w:t>
            </w:r>
          </w:p>
        </w:tc>
        <w:tc>
          <w:tcPr>
            <w:tcW w:type="dxa" w:w="2340"/>
            <w:shd w:fill="FFFFFF"/>
          </w:tcPr>
          <w:p>
            <w:pPr>
              <w:spacing w:after="0"/>
            </w:pPr>
            <w:r>
              <w:rPr>
                <w:color w:val="141E2D"/>
                <w:sz w:val="18"/>
              </w:rPr>
              <w:t>Once a month is adequate, plus a refresh whenever a customer's stage or status changes.</w:t>
            </w:r>
          </w:p>
        </w:tc>
      </w:tr>
    </w:tbl>
    <w:p/>
    <w:p>
      <w:pPr>
        <w:pStyle w:val="Heading1"/>
      </w:pPr>
      <w:r>
        <w:t>2. Partly answered</w:t>
      </w:r>
    </w:p>
    <w:p>
      <w:r>
        <w:rPr>
          <w:i w:val="0"/>
          <w:color w:val="141E2D"/>
          <w:sz w:val="21"/>
        </w:rPr>
        <w:t>Each of these has a direction but not enough detail to write code against. Most need a single sentence back from David rather than a discussion.</w:t>
      </w:r>
    </w:p>
    <w:p>
      <w:pPr>
        <w:pStyle w:val="Heading3"/>
      </w:pPr>
      <w:r>
        <w:t>2.1 Should the agent calibrate the confidence number, or should confidence stay human controlled with the agent only flagging outliers?</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Confidence is the only field the agent is allowed to write, and it multiplies every revenue figure in the system. Whether the agent owns that number or only comments on it decides three things at once: whether the judgment layer proposes or decides, whether the review queue is a gate or a log, and what score_confidence returns.</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Qualitative analysis by the agent is wanted, and the number should be auto entered by the agent. Confidence today is driven by the stage the project sits in, DV, PV and so on.</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The stage to confidence table itself. Which baseline number belongs to Concept, EVT, DVT, PVT and MP. Without it the agent is inventing a number rather than justifying a deviation from an agreed one, which is a far harder thing for a reviewer to check.</w:t>
            </w:r>
          </w:p>
        </w:tc>
      </w:tr>
    </w:tbl>
    <w:p/>
    <w:p>
      <w:pPr>
        <w:pStyle w:val="Heading3"/>
      </w:pPr>
      <w:r>
        <w:t>2.2 What are the valid Design Status and Stage combinations, and what should the agent do with an inconsistent pairing?</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The workbook keeps two parallel fields with no stated relationship between them, and the mismatch rule is one of the six rubric rules in judgment.py. On the live run it fired wrongly on Aphrodite, a Design In at DVT, which David's rules confirm is a normal pairing. The model was guessing at what counts as a contradiction because nothing told it.</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Design Win only at PVT or MP. Design In from DVT to PVT. Sample, Evaluation and Promotion at Concept and EVT.</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The behaviour on a bad pairing: reject the entry, correct the stage, or accept it and raise a flag. Also whether MP is a Stage value, since the Stage column only holds Concept, EVT, DVT and PVT today while the answer uses MP as one.</w:t>
            </w:r>
          </w:p>
        </w:tc>
      </w:tr>
    </w:tbl>
    <w:p/>
    <w:p>
      <w:pPr>
        <w:pStyle w:val="Heading3"/>
      </w:pPr>
      <w:r>
        <w:t>2.3 Is a confidence of exactly 1.00 always right for an established design win?</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Both design wins in the sample sit at exactly 1.00, and apply_confidence_adjustment clamps the result to a maximum of 1.0. Any positive support the agent gives a locked design win is therefore discarded, so the calibrated total can only ever move down. Whether that is a bug or the intended behaviour depends entirely on this answer.</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No. Dual sourcing and cancellation risk deserve qualitative analysis even on a locked design win.</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The ceiling. If a design win is not 1.00, what is the highest confidence any record may carry, and roughly how many points should dual sourcing or cancellation risk remove.</w:t>
            </w:r>
          </w:p>
        </w:tc>
      </w:tr>
    </w:tbl>
    <w:p/>
    <w:p>
      <w:pPr>
        <w:pStyle w:val="Heading3"/>
      </w:pPr>
      <w:r>
        <w:t>2.4 Can you confirm the intended regional roll-up structure, ideally with a corrected tab?</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portfolio_rollup groups on the region string exactly as it is written. The file already holds KR on one tab and Korea on another, so today those become two separate regions and every regional total is quietly wrong.</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The #REF! rows were broken deliberately once the forecast was split out. Regions are Europe, Taiwan, Japan, Korea, India, US and Other.</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How the values already in the file map onto that list. EU, KR and North America do not appear on it. Confirm EU is Europe, KR is Korea, and whether North America means US only.</w:t>
            </w:r>
          </w:p>
        </w:tc>
      </w:tr>
    </w:tbl>
    <w:p/>
    <w:p>
      <w:pPr>
        <w:pStyle w:val="Heading3"/>
      </w:pPr>
      <w:r>
        <w:t>2.5 What do Projection and Stretch on Sheet1 mean?</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Two sets of quarterly numbers that are close to each other but tie to nothing else in the file by formula. Guessing at the definition would bake that guess into the forecast feed, where it would be almost impossible to spot later.</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Leftover from the template David started from, and not present in the sheet he updated.</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A copy of that updated sheet. Our TrackF (1).xlsx still carries both the Projection and Stretch block and the broken roll-up rows, so we may be building against a file that has already been superseded.</w:t>
            </w:r>
          </w:p>
        </w:tc>
      </w:tr>
    </w:tbl>
    <w:p/>
    <w:p>
      <w:pPr>
        <w:pStyle w:val="Heading3"/>
      </w:pPr>
      <w:r>
        <w:t>2.6 Should the agent auto promote a project between tabs, or should that stay a manual move?</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The move between tabs is what closes an opportunity. It sets the outcome label that win rate, time in stage and the future calibration model all depend on, and it removes the record from the live pipeline. Getting it wrong is not a display problem, it corrupts the history.</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The agent should auto move it.</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Whether anything stops for a person. Read together with auto entered confidence, this means nobody signs off before an opportunity is closed as lost or promoted into mass production. The two answers were given separately and may not have been considered together.</w:t>
            </w:r>
          </w:p>
        </w:tc>
      </w:tr>
    </w:tbl>
    <w:p/>
    <w:p>
      <w:pPr>
        <w:pStyle w:val="Heading3"/>
      </w:pPr>
      <w:r>
        <w:t>2.7 Who enters the data, and is the confidence number reviewed or adjusted by a manager before it is final?</w:t>
      </w:r>
    </w:p>
    <w:tbl>
      <w:tblPr>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160"/>
            <w:shd w:fill="FFF3DE"/>
            <w:vAlign w:val="center"/>
            <w:tcMar>
              <w:top w:w="80" w:type="dxa"/>
              <w:start w:w="120" w:type="dxa"/>
              <w:bottom w:w="80" w:type="dxa"/>
              <w:end w:w="120" w:type="dxa"/>
            </w:tcMar>
          </w:tcPr>
          <w:p>
            <w:pPr>
              <w:spacing w:after="0"/>
            </w:pPr>
            <w:r>
              <w:rPr>
                <w:b/>
                <w:color w:val="141E2D"/>
                <w:sz w:val="18"/>
              </w:rPr>
              <w:t>Why we are asking</w:t>
            </w:r>
          </w:p>
        </w:tc>
        <w:tc>
          <w:tcPr>
            <w:tcW w:type="dxa" w:w="7200"/>
            <w:shd w:fill="FFFFFF"/>
            <w:vAlign w:val="center"/>
            <w:tcMar>
              <w:top w:w="80" w:type="dxa"/>
              <w:start w:w="120" w:type="dxa"/>
              <w:bottom w:w="80" w:type="dxa"/>
              <w:end w:w="120" w:type="dxa"/>
            </w:tcMar>
          </w:tcPr>
          <w:p>
            <w:pPr>
              <w:spacing w:after="0"/>
            </w:pPr>
            <w:r>
              <w:rPr>
                <w:b w:val="0"/>
                <w:color w:val="141E2D"/>
                <w:sz w:val="18"/>
              </w:rPr>
              <w:t>Someone has to be accountable for a number that ends up in a board pack. The identity also has to be recorded per row, because owner calibration, working out whose forecasts run optimistic, cannot exist without it.</w:t>
            </w:r>
          </w:p>
        </w:tc>
      </w:tr>
      <w:tr>
        <w:tc>
          <w:tcPr>
            <w:tcW w:type="dxa" w:w="2160"/>
            <w:shd w:fill="FFF3DE"/>
            <w:vAlign w:val="center"/>
            <w:tcMar>
              <w:top w:w="80" w:type="dxa"/>
              <w:start w:w="120" w:type="dxa"/>
              <w:bottom w:w="80" w:type="dxa"/>
              <w:end w:w="120" w:type="dxa"/>
            </w:tcMar>
          </w:tcPr>
          <w:p>
            <w:pPr>
              <w:spacing w:after="0"/>
            </w:pPr>
            <w:r>
              <w:rPr>
                <w:b/>
                <w:color w:val="141E2D"/>
                <w:sz w:val="18"/>
              </w:rPr>
              <w:t>What we have</w:t>
            </w:r>
          </w:p>
        </w:tc>
        <w:tc>
          <w:tcPr>
            <w:tcW w:type="dxa" w:w="7200"/>
            <w:shd w:fill="FFFFFF"/>
            <w:vAlign w:val="center"/>
            <w:tcMar>
              <w:top w:w="80" w:type="dxa"/>
              <w:start w:w="120" w:type="dxa"/>
              <w:bottom w:w="80" w:type="dxa"/>
              <w:end w:w="120" w:type="dxa"/>
            </w:tcMar>
          </w:tcPr>
          <w:p>
            <w:pPr>
              <w:spacing w:after="0"/>
            </w:pPr>
            <w:r>
              <w:rPr>
                <w:b w:val="0"/>
                <w:color w:val="141E2D"/>
                <w:sz w:val="18"/>
              </w:rPr>
              <w:t>Regional sales owners enter the data. The confidence number should be auto entered by the agent.</w:t>
            </w:r>
          </w:p>
        </w:tc>
      </w:tr>
      <w:tr>
        <w:tc>
          <w:tcPr>
            <w:tcW w:type="dxa" w:w="2160"/>
            <w:shd w:fill="FFF3DE"/>
            <w:vAlign w:val="center"/>
            <w:tcMar>
              <w:top w:w="80" w:type="dxa"/>
              <w:start w:w="120" w:type="dxa"/>
              <w:bottom w:w="80" w:type="dxa"/>
              <w:end w:w="120" w:type="dxa"/>
            </w:tcMar>
          </w:tcPr>
          <w:p>
            <w:pPr>
              <w:spacing w:after="0"/>
            </w:pPr>
            <w:r>
              <w:rPr>
                <w:b/>
                <w:color w:val="141E2D"/>
                <w:sz w:val="18"/>
              </w:rPr>
              <w:t>What is still needed</w:t>
            </w:r>
          </w:p>
        </w:tc>
        <w:tc>
          <w:tcPr>
            <w:tcW w:type="dxa" w:w="7200"/>
            <w:shd w:fill="FFFFFF"/>
            <w:vAlign w:val="center"/>
            <w:tcMar>
              <w:top w:w="80" w:type="dxa"/>
              <w:start w:w="120" w:type="dxa"/>
              <w:bottom w:w="80" w:type="dxa"/>
              <w:end w:w="120" w:type="dxa"/>
            </w:tcMar>
          </w:tcPr>
          <w:p>
            <w:pPr>
              <w:spacing w:after="0"/>
            </w:pPr>
            <w:r>
              <w:rPr>
                <w:b w:val="0"/>
                <w:color w:val="141E2D"/>
                <w:sz w:val="18"/>
              </w:rPr>
              <w:t>The review half of the question. Who can approve, reject or override what the agent proposes, and whether a sales manager sign-off is required before the number is treated as final.</w:t>
            </w:r>
          </w:p>
        </w:tc>
      </w:tr>
    </w:tbl>
    <w:p/>
    <w:p>
      <w:pPr>
        <w:pStyle w:val="Heading1"/>
      </w:pPr>
      <w:r>
        <w:t>3. Open, with no answer yet</w:t>
      </w:r>
    </w:p>
    <w:p>
      <w:r>
        <w:rPr>
          <w:i w:val="0"/>
          <w:color w:val="141E2D"/>
          <w:sz w:val="21"/>
        </w:rPr>
        <w:t>None of these have been put to David or Gene. They come from reading the workbook against the parameter model and the POC, and every one of them changes how the data gets used. The second column is what breaks, or what cannot be built, while the question stays open.</w:t>
      </w:r>
    </w:p>
    <w:p>
      <w:pPr>
        <w:pStyle w:val="Heading2"/>
      </w:pPr>
      <w:r>
        <w:t>3.1 Keys and identity</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320"/>
            <w:vAlign w:val="center"/>
            <w:tcMar>
              <w:top w:w="80" w:type="dxa"/>
              <w:start w:w="120" w:type="dxa"/>
              <w:bottom w:w="80" w:type="dxa"/>
              <w:end w:w="120" w:type="dxa"/>
            </w:tcMar>
            <w:shd w:fill="FBE9E9"/>
          </w:tcPr>
          <w:p>
            <w:pPr>
              <w:spacing w:after="0"/>
            </w:pPr>
            <w:r>
              <w:rPr>
                <w:b/>
                <w:color w:val="141E2D"/>
                <w:sz w:val="19"/>
              </w:rPr>
              <w:t>Question</w:t>
            </w:r>
          </w:p>
        </w:tc>
        <w:tc>
          <w:tcPr>
            <w:tcW w:type="dxa" w:w="5040"/>
            <w:vAlign w:val="center"/>
            <w:tcMar>
              <w:top w:w="80" w:type="dxa"/>
              <w:start w:w="120" w:type="dxa"/>
              <w:bottom w:w="80" w:type="dxa"/>
              <w:end w:w="120" w:type="dxa"/>
            </w:tcMar>
            <w:shd w:fill="FBE9E9"/>
          </w:tcPr>
          <w:p>
            <w:pPr>
              <w:spacing w:after="0"/>
            </w:pPr>
            <w:r>
              <w:rPr>
                <w:b/>
                <w:color w:val="141E2D"/>
                <w:sz w:val="19"/>
              </w:rPr>
              <w:t>Why we are asking</w:t>
            </w:r>
          </w:p>
        </w:tc>
      </w:tr>
      <w:tr>
        <w:tc>
          <w:tcPr>
            <w:tcW w:type="dxa" w:w="4680"/>
            <w:shd w:fill="FFFFFF"/>
          </w:tcPr>
          <w:p>
            <w:pPr>
              <w:spacing w:after="0"/>
            </w:pPr>
            <w:r>
              <w:rPr>
                <w:color w:val="141E2D"/>
                <w:sz w:val="18"/>
              </w:rPr>
              <w:t>Who issues the Opportunity ID, in what format, and who backfills the rows that exist today?</w:t>
            </w:r>
          </w:p>
        </w:tc>
        <w:tc>
          <w:tcPr>
            <w:tcW w:type="dxa" w:w="4680"/>
            <w:shd w:fill="FFFFFF"/>
          </w:tcPr>
          <w:p>
            <w:pPr>
              <w:spacing w:after="0"/>
            </w:pPr>
            <w:r>
              <w:rPr>
                <w:color w:val="141E2D"/>
                <w:sz w:val="18"/>
              </w:rPr>
              <w:t>No two tabs share a key, so all five cross-sheet relations are eyeballed rather than computed. This is the structural blocker under everything else.</w:t>
            </w:r>
          </w:p>
        </w:tc>
      </w:tr>
      <w:tr>
        <w:tc>
          <w:tcPr>
            <w:tcW w:type="dxa" w:w="4680"/>
            <w:shd w:fill="FFFFFF"/>
          </w:tcPr>
          <w:p>
            <w:pPr>
              <w:spacing w:after="0"/>
            </w:pPr>
            <w:r>
              <w:rPr>
                <w:color w:val="141E2D"/>
                <w:sz w:val="18"/>
              </w:rPr>
              <w:t>Should an owner be recorded against each opportunity?</w:t>
            </w:r>
          </w:p>
        </w:tc>
        <w:tc>
          <w:tcPr>
            <w:tcW w:type="dxa" w:w="4680"/>
            <w:shd w:fill="FFFFFF"/>
          </w:tcPr>
          <w:p>
            <w:pPr>
              <w:spacing w:after="0"/>
            </w:pPr>
            <w:r>
              <w:rPr>
                <w:color w:val="141E2D"/>
                <w:sz w:val="18"/>
              </w:rPr>
              <w:t>There is no owner field anywhere. Owner calibration cannot run, and no confidence number can be attributed to a person after the fact.</w:t>
            </w:r>
          </w:p>
        </w:tc>
      </w:tr>
      <w:tr>
        <w:tc>
          <w:tcPr>
            <w:tcW w:type="dxa" w:w="4680"/>
            <w:shd w:fill="FFFFFF"/>
          </w:tcPr>
          <w:p>
            <w:pPr>
              <w:spacing w:after="0"/>
            </w:pPr>
            <w:r>
              <w:rPr>
                <w:color w:val="141E2D"/>
                <w:sz w:val="18"/>
              </w:rPr>
              <w:t>What is the relationship between the Funnel tab and ProjectTrack?</w:t>
            </w:r>
          </w:p>
        </w:tc>
        <w:tc>
          <w:tcPr>
            <w:tcW w:type="dxa" w:w="4680"/>
            <w:shd w:fill="FFFFFF"/>
          </w:tcPr>
          <w:p>
            <w:pPr>
              <w:spacing w:after="0"/>
            </w:pPr>
            <w:r>
              <w:rPr>
                <w:color w:val="141E2D"/>
                <w:sz w:val="18"/>
              </w:rPr>
              <w:t>Funnel rows carry no Stage and no Confidence. It is not clear whether Funnel is a wider list that graduates into ProjectTrack, or a separate view of the same opportunities.</w:t>
            </w:r>
          </w:p>
        </w:tc>
      </w:tr>
    </w:tbl>
    <w:p/>
    <w:p>
      <w:pPr>
        <w:pStyle w:val="Heading2"/>
      </w:pPr>
      <w:r>
        <w:t>3.2 Fields collected and never used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320"/>
            <w:vAlign w:val="center"/>
            <w:tcMar>
              <w:top w:w="80" w:type="dxa"/>
              <w:start w:w="120" w:type="dxa"/>
              <w:bottom w:w="80" w:type="dxa"/>
              <w:end w:w="120" w:type="dxa"/>
            </w:tcMar>
            <w:shd w:fill="FBE9E9"/>
          </w:tcPr>
          <w:p>
            <w:pPr>
              <w:spacing w:after="0"/>
            </w:pPr>
            <w:r>
              <w:rPr>
                <w:b/>
                <w:color w:val="141E2D"/>
                <w:sz w:val="19"/>
              </w:rPr>
              <w:t>Question</w:t>
            </w:r>
          </w:p>
        </w:tc>
        <w:tc>
          <w:tcPr>
            <w:tcW w:type="dxa" w:w="5040"/>
            <w:vAlign w:val="center"/>
            <w:tcMar>
              <w:top w:w="80" w:type="dxa"/>
              <w:start w:w="120" w:type="dxa"/>
              <w:bottom w:w="80" w:type="dxa"/>
              <w:end w:w="120" w:type="dxa"/>
            </w:tcMar>
            <w:shd w:fill="FBE9E9"/>
          </w:tcPr>
          <w:p>
            <w:pPr>
              <w:spacing w:after="0"/>
            </w:pPr>
            <w:r>
              <w:rPr>
                <w:b/>
                <w:color w:val="141E2D"/>
                <w:sz w:val="19"/>
              </w:rPr>
              <w:t>Why we are asking</w:t>
            </w:r>
          </w:p>
        </w:tc>
      </w:tr>
      <w:tr>
        <w:tc>
          <w:tcPr>
            <w:tcW w:type="dxa" w:w="4680"/>
            <w:shd w:fill="FFFFFF"/>
          </w:tcPr>
          <w:p>
            <w:pPr>
              <w:spacing w:after="0"/>
            </w:pPr>
            <w:r>
              <w:rPr>
                <w:color w:val="141E2D"/>
                <w:sz w:val="18"/>
              </w:rPr>
              <w:t>Should the agent report channel margin from Resale ASP, and which price is authoritative for revenue?</w:t>
            </w:r>
          </w:p>
        </w:tc>
        <w:tc>
          <w:tcPr>
            <w:tcW w:type="dxa" w:w="4680"/>
            <w:shd w:fill="FFFFFF"/>
          </w:tcPr>
          <w:p>
            <w:pPr>
              <w:spacing w:after="0"/>
            </w:pPr>
            <w:r>
              <w:rPr>
                <w:color w:val="141E2D"/>
                <w:sz w:val="18"/>
              </w:rPr>
              <w:t>Resale ASP is entered on all 28 rows and reaches no formula. Margin per row is free analysis sitting in data already collected.</w:t>
            </w:r>
          </w:p>
        </w:tc>
      </w:tr>
      <w:tr>
        <w:tc>
          <w:tcPr>
            <w:tcW w:type="dxa" w:w="4680"/>
            <w:shd w:fill="FFFFFF"/>
          </w:tcPr>
          <w:p>
            <w:pPr>
              <w:spacing w:after="0"/>
            </w:pPr>
            <w:r>
              <w:rPr>
                <w:color w:val="141E2D"/>
                <w:sz w:val="18"/>
              </w:rPr>
              <w:t>Should Competitor Part# be captured on ProjectTrack?</w:t>
            </w:r>
          </w:p>
        </w:tc>
        <w:tc>
          <w:tcPr>
            <w:tcW w:type="dxa" w:w="4680"/>
            <w:shd w:fill="FFFFFF"/>
          </w:tcPr>
          <w:p>
            <w:pPr>
              <w:spacing w:after="0"/>
            </w:pPr>
            <w:r>
              <w:rPr>
                <w:color w:val="141E2D"/>
                <w:sz w:val="18"/>
              </w:rPr>
              <w:t>It is blank on the tab that carries confidence, so the competitor rule in judgment.py can never fire on real data.</w:t>
            </w:r>
          </w:p>
        </w:tc>
      </w:tr>
      <w:tr>
        <w:tc>
          <w:tcPr>
            <w:tcW w:type="dxa" w:w="4680"/>
            <w:shd w:fill="FFFFFF"/>
          </w:tcPr>
          <w:p>
            <w:pPr>
              <w:spacing w:after="0"/>
            </w:pPr>
            <w:r>
              <w:rPr>
                <w:color w:val="141E2D"/>
                <w:sz w:val="18"/>
              </w:rPr>
              <w:t>Is Unit/Set captured at intake going forward?</w:t>
            </w:r>
          </w:p>
        </w:tc>
        <w:tc>
          <w:tcPr>
            <w:tcW w:type="dxa" w:w="4680"/>
            <w:shd w:fill="FFFFFF"/>
          </w:tcPr>
          <w:p>
            <w:pPr>
              <w:spacing w:after="0"/>
            </w:pPr>
            <w:r>
              <w:rPr>
                <w:color w:val="141E2D"/>
                <w:sz w:val="18"/>
              </w:rPr>
              <w:t>It exists in the workbook with values of 5, 10, 15 and 20, but was dropped from the POC's sample data, so the set volume calculation David described has nothing to run on.</w:t>
            </w:r>
          </w:p>
        </w:tc>
      </w:tr>
    </w:tbl>
    <w:p/>
    <w:p>
      <w:pPr>
        <w:pStyle w:val="Heading2"/>
      </w:pPr>
      <w:r>
        <w:t>3.3 Time and the shape of the numbers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320"/>
            <w:vAlign w:val="center"/>
            <w:tcMar>
              <w:top w:w="80" w:type="dxa"/>
              <w:start w:w="120" w:type="dxa"/>
              <w:bottom w:w="80" w:type="dxa"/>
              <w:end w:w="120" w:type="dxa"/>
            </w:tcMar>
            <w:shd w:fill="FBE9E9"/>
          </w:tcPr>
          <w:p>
            <w:pPr>
              <w:spacing w:after="0"/>
            </w:pPr>
            <w:r>
              <w:rPr>
                <w:b/>
                <w:color w:val="141E2D"/>
                <w:sz w:val="19"/>
              </w:rPr>
              <w:t>Question</w:t>
            </w:r>
          </w:p>
        </w:tc>
        <w:tc>
          <w:tcPr>
            <w:tcW w:type="dxa" w:w="5040"/>
            <w:vAlign w:val="center"/>
            <w:tcMar>
              <w:top w:w="80" w:type="dxa"/>
              <w:start w:w="120" w:type="dxa"/>
              <w:bottom w:w="80" w:type="dxa"/>
              <w:end w:w="120" w:type="dxa"/>
            </w:tcMar>
            <w:shd w:fill="FBE9E9"/>
          </w:tcPr>
          <w:p>
            <w:pPr>
              <w:spacing w:after="0"/>
            </w:pPr>
            <w:r>
              <w:rPr>
                <w:b/>
                <w:color w:val="141E2D"/>
                <w:sz w:val="19"/>
              </w:rPr>
              <w:t>Why we are asking</w:t>
            </w:r>
          </w:p>
        </w:tc>
      </w:tr>
      <w:tr>
        <w:tc>
          <w:tcPr>
            <w:tcW w:type="dxa" w:w="4680"/>
            <w:shd w:fill="FFFFFF"/>
          </w:tcPr>
          <w:p>
            <w:pPr>
              <w:spacing w:after="0"/>
            </w:pPr>
            <w:r>
              <w:rPr>
                <w:color w:val="141E2D"/>
                <w:sz w:val="18"/>
              </w:rPr>
              <w:t>How does one annual EAU become quarterly revenue?</w:t>
            </w:r>
          </w:p>
        </w:tc>
        <w:tc>
          <w:tcPr>
            <w:tcW w:type="dxa" w:w="4680"/>
            <w:shd w:fill="FFFFFF"/>
          </w:tcPr>
          <w:p>
            <w:pPr>
              <w:spacing w:after="0"/>
            </w:pPr>
            <w:r>
              <w:rPr>
                <w:color w:val="141E2D"/>
                <w:sz w:val="18"/>
              </w:rPr>
              <w:t>ProjectTrack holds a single annual EAU and an M/P date. Any quarterly feed needs a phasing rule: flat quarters, a ramp from the M/P date, or programme build data.</w:t>
            </w:r>
          </w:p>
        </w:tc>
      </w:tr>
      <w:tr>
        <w:tc>
          <w:tcPr>
            <w:tcW w:type="dxa" w:w="4680"/>
            <w:shd w:fill="FFFFFF"/>
          </w:tcPr>
          <w:p>
            <w:pPr>
              <w:spacing w:after="0"/>
            </w:pPr>
            <w:r>
              <w:rPr>
                <w:color w:val="141E2D"/>
                <w:sz w:val="18"/>
              </w:rPr>
              <w:t>Does one EAU figure hold for the life of the socket, or does each opportunity need a per year profile?</w:t>
            </w:r>
          </w:p>
        </w:tc>
        <w:tc>
          <w:tcPr>
            <w:tcW w:type="dxa" w:w="4680"/>
            <w:shd w:fill="FFFFFF"/>
          </w:tcPr>
          <w:p>
            <w:pPr>
              <w:spacing w:after="0"/>
            </w:pPr>
            <w:r>
              <w:rPr>
                <w:color w:val="141E2D"/>
                <w:sz w:val="18"/>
              </w:rPr>
              <w:t>Automotive sockets run several years at varying volume. A single annual number cannot express that, and the ROI hand-off expects a year list.</w:t>
            </w:r>
          </w:p>
        </w:tc>
      </w:tr>
      <w:tr>
        <w:tc>
          <w:tcPr>
            <w:tcW w:type="dxa" w:w="4680"/>
            <w:shd w:fill="FFFFFF"/>
          </w:tcPr>
          <w:p>
            <w:pPr>
              <w:spacing w:after="0"/>
            </w:pPr>
            <w:r>
              <w:rPr>
                <w:color w:val="141E2D"/>
                <w:sz w:val="18"/>
              </w:rPr>
              <w:t>When EAU or confidence changes, do we keep the previous value?</w:t>
            </w:r>
          </w:p>
        </w:tc>
        <w:tc>
          <w:tcPr>
            <w:tcW w:type="dxa" w:w="4680"/>
            <w:shd w:fill="FFFFFF"/>
          </w:tcPr>
          <w:p>
            <w:pPr>
              <w:spacing w:after="0"/>
            </w:pPr>
            <w:r>
              <w:rPr>
                <w:color w:val="141E2D"/>
                <w:sz w:val="18"/>
              </w:rPr>
              <w:t>Forecast accuracy, the highest value output this agent could produce, cannot be measured without retained vintages.</w:t>
            </w:r>
          </w:p>
        </w:tc>
      </w:tr>
      <w:tr>
        <w:tc>
          <w:tcPr>
            <w:tcW w:type="dxa" w:w="4680"/>
            <w:shd w:fill="FFFFFF"/>
          </w:tcPr>
          <w:p>
            <w:pPr>
              <w:spacing w:after="0"/>
            </w:pPr>
            <w:r>
              <w:rPr>
                <w:color w:val="141E2D"/>
                <w:sz w:val="18"/>
              </w:rPr>
              <w:t>Can a distributor POS or POR report and an ERP extract be scheduled?</w:t>
            </w:r>
          </w:p>
        </w:tc>
        <w:tc>
          <w:tcPr>
            <w:tcW w:type="dxa" w:w="4680"/>
            <w:shd w:fill="FFFFFF"/>
          </w:tcPr>
          <w:p>
            <w:pPr>
              <w:spacing w:after="0"/>
            </w:pPr>
            <w:r>
              <w:rPr>
                <w:color w:val="141E2D"/>
                <w:sz w:val="18"/>
              </w:rPr>
              <w:t>Both blocked analyses are waiting on actuals. This is the cheapest connector on the list and usually already a standard report in the distribution agreement.</w:t>
            </w:r>
          </w:p>
        </w:tc>
      </w:tr>
    </w:tbl>
    <w:p/>
    <w:p>
      <w:pPr>
        <w:pStyle w:val="Heading2"/>
      </w:pPr>
      <w:r>
        <w:t>3.4 Data quality in the current file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320"/>
            <w:vAlign w:val="center"/>
            <w:tcMar>
              <w:top w:w="80" w:type="dxa"/>
              <w:start w:w="120" w:type="dxa"/>
              <w:bottom w:w="80" w:type="dxa"/>
              <w:end w:w="120" w:type="dxa"/>
            </w:tcMar>
            <w:shd w:fill="FBE9E9"/>
          </w:tcPr>
          <w:p>
            <w:pPr>
              <w:spacing w:after="0"/>
            </w:pPr>
            <w:r>
              <w:rPr>
                <w:b/>
                <w:color w:val="141E2D"/>
                <w:sz w:val="19"/>
              </w:rPr>
              <w:t>Question</w:t>
            </w:r>
          </w:p>
        </w:tc>
        <w:tc>
          <w:tcPr>
            <w:tcW w:type="dxa" w:w="5040"/>
            <w:vAlign w:val="center"/>
            <w:tcMar>
              <w:top w:w="80" w:type="dxa"/>
              <w:start w:w="120" w:type="dxa"/>
              <w:bottom w:w="80" w:type="dxa"/>
              <w:end w:w="120" w:type="dxa"/>
            </w:tcMar>
            <w:shd w:fill="FBE9E9"/>
          </w:tcPr>
          <w:p>
            <w:pPr>
              <w:spacing w:after="0"/>
            </w:pPr>
            <w:r>
              <w:rPr>
                <w:b/>
                <w:color w:val="141E2D"/>
                <w:sz w:val="19"/>
              </w:rPr>
              <w:t>Why we are asking</w:t>
            </w:r>
          </w:p>
        </w:tc>
      </w:tr>
      <w:tr>
        <w:tc>
          <w:tcPr>
            <w:tcW w:type="dxa" w:w="4680"/>
            <w:shd w:fill="FFFFFF"/>
          </w:tcPr>
          <w:p>
            <w:pPr>
              <w:spacing w:after="0"/>
            </w:pPr>
            <w:r>
              <w:rPr>
                <w:color w:val="141E2D"/>
                <w:sz w:val="18"/>
              </w:rPr>
              <w:t>IP901 on the Funnel tab shows 130,790 Kpcs at 4 units per set. Which figure is wrong?</w:t>
            </w:r>
          </w:p>
        </w:tc>
        <w:tc>
          <w:tcPr>
            <w:tcW w:type="dxa" w:w="4680"/>
            <w:shd w:fill="FFFFFF"/>
          </w:tcPr>
          <w:p>
            <w:pPr>
              <w:spacing w:after="0"/>
            </w:pPr>
            <w:r>
              <w:rPr>
                <w:color w:val="141E2D"/>
                <w:sz w:val="18"/>
              </w:rPr>
              <w:t>That works out to 32.7 million vehicle sets a year, which is roughly a third of global light vehicle production. Either the EAU or the Unit/Set value on that row is wrong.</w:t>
            </w:r>
          </w:p>
        </w:tc>
      </w:tr>
      <w:tr>
        <w:tc>
          <w:tcPr>
            <w:tcW w:type="dxa" w:w="4680"/>
            <w:shd w:fill="FFFFFF"/>
          </w:tcPr>
          <w:p>
            <w:pPr>
              <w:spacing w:after="0"/>
            </w:pPr>
            <w:r>
              <w:rPr>
                <w:color w:val="141E2D"/>
                <w:sz w:val="18"/>
              </w:rPr>
              <w:t>Which value is correct where the file contradicts itself?</w:t>
            </w:r>
          </w:p>
        </w:tc>
        <w:tc>
          <w:tcPr>
            <w:tcW w:type="dxa" w:w="4680"/>
            <w:shd w:fill="FFFFFF"/>
          </w:tcPr>
          <w:p>
            <w:pPr>
              <w:spacing w:after="0"/>
            </w:pPr>
            <w:r>
              <w:rPr>
                <w:color w:val="141E2D"/>
                <w:sz w:val="18"/>
              </w:rPr>
              <w:t>There are TBD entries sitting in numeric fields, an SoP date that differs between two tabs, and a company total that does not compute.</w:t>
            </w:r>
          </w:p>
        </w:tc>
      </w:tr>
      <w:tr>
        <w:tc>
          <w:tcPr>
            <w:tcW w:type="dxa" w:w="4680"/>
            <w:shd w:fill="FFFFFF"/>
          </w:tcPr>
          <w:p>
            <w:pPr>
              <w:spacing w:after="0"/>
            </w:pPr>
            <w:r>
              <w:rPr>
                <w:color w:val="141E2D"/>
                <w:sz w:val="18"/>
              </w:rPr>
              <w:t>Is Part# deliberately reused across opportunities?</w:t>
            </w:r>
          </w:p>
        </w:tc>
        <w:tc>
          <w:tcPr>
            <w:tcW w:type="dxa" w:w="4680"/>
            <w:shd w:fill="FFFFFF"/>
          </w:tcPr>
          <w:p>
            <w:pPr>
              <w:spacing w:after="0"/>
            </w:pPr>
            <w:r>
              <w:rPr>
                <w:color w:val="141E2D"/>
                <w:sz w:val="18"/>
              </w:rPr>
              <w:t>AX01 appears on six rows. It changes how silicon demand is aggregated for capacity planning, so it needs confirming rather than assuming.</w:t>
            </w:r>
          </w:p>
        </w:tc>
      </w:tr>
      <w:tr>
        <w:tc>
          <w:tcPr>
            <w:tcW w:type="dxa" w:w="4680"/>
            <w:shd w:fill="FFFFFF"/>
          </w:tcPr>
          <w:p>
            <w:pPr>
              <w:spacing w:after="0"/>
            </w:pPr>
            <w:r>
              <w:rPr>
                <w:color w:val="141E2D"/>
                <w:sz w:val="18"/>
              </w:rPr>
              <w:t>Does IGD stand for Integrated Gate Driver?</w:t>
            </w:r>
          </w:p>
        </w:tc>
        <w:tc>
          <w:tcPr>
            <w:tcW w:type="dxa" w:w="4680"/>
            <w:shd w:fill="FFFFFF"/>
          </w:tcPr>
          <w:p>
            <w:pPr>
              <w:spacing w:after="0"/>
            </w:pPr>
            <w:r>
              <w:rPr>
                <w:color w:val="141E2D"/>
                <w:sz w:val="18"/>
              </w:rPr>
              <w:t>Recorded in the terms document as likely, never confirmed. It is a product line label that will end up on reports.</w:t>
            </w:r>
          </w:p>
        </w:tc>
      </w:tr>
    </w:tbl>
    <w:p/>
    <w:p>
      <w:pPr>
        <w:pStyle w:val="Heading2"/>
      </w:pPr>
      <w:r>
        <w:t>3.5 Access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320"/>
            <w:vAlign w:val="center"/>
            <w:tcMar>
              <w:top w:w="80" w:type="dxa"/>
              <w:start w:w="120" w:type="dxa"/>
              <w:bottom w:w="80" w:type="dxa"/>
              <w:end w:w="120" w:type="dxa"/>
            </w:tcMar>
            <w:shd w:fill="FBE9E9"/>
          </w:tcPr>
          <w:p>
            <w:pPr>
              <w:spacing w:after="0"/>
            </w:pPr>
            <w:r>
              <w:rPr>
                <w:b/>
                <w:color w:val="141E2D"/>
                <w:sz w:val="19"/>
              </w:rPr>
              <w:t>Question</w:t>
            </w:r>
          </w:p>
        </w:tc>
        <w:tc>
          <w:tcPr>
            <w:tcW w:type="dxa" w:w="5040"/>
            <w:vAlign w:val="center"/>
            <w:tcMar>
              <w:top w:w="80" w:type="dxa"/>
              <w:start w:w="120" w:type="dxa"/>
              <w:bottom w:w="80" w:type="dxa"/>
              <w:end w:w="120" w:type="dxa"/>
            </w:tcMar>
            <w:shd w:fill="FBE9E9"/>
          </w:tcPr>
          <w:p>
            <w:pPr>
              <w:spacing w:after="0"/>
            </w:pPr>
            <w:r>
              <w:rPr>
                <w:b/>
                <w:color w:val="141E2D"/>
                <w:sz w:val="19"/>
              </w:rPr>
              <w:t>Why we are asking</w:t>
            </w:r>
          </w:p>
        </w:tc>
      </w:tr>
      <w:tr>
        <w:tc>
          <w:tcPr>
            <w:tcW w:type="dxa" w:w="4680"/>
            <w:shd w:fill="FFFFFF"/>
          </w:tcPr>
          <w:p>
            <w:pPr>
              <w:spacing w:after="0"/>
            </w:pPr>
            <w:r>
              <w:rPr>
                <w:color w:val="141E2D"/>
                <w:sz w:val="18"/>
              </w:rPr>
              <w:t>Can a regional sales owner see pipeline outside their own region?</w:t>
            </w:r>
          </w:p>
        </w:tc>
        <w:tc>
          <w:tcPr>
            <w:tcW w:type="dxa" w:w="4680"/>
            <w:shd w:fill="FFFFFF"/>
          </w:tcPr>
          <w:p>
            <w:pPr>
              <w:spacing w:after="0"/>
            </w:pPr>
            <w:r>
              <w:rPr>
                <w:color w:val="141E2D"/>
                <w:sz w:val="18"/>
              </w:rPr>
              <w:t>This shapes the API and the dashboard from the first release, and retrofitting row level access later is expensive.</w:t>
            </w:r>
          </w:p>
        </w:tc>
      </w:tr>
    </w:tbl>
    <w:p/>
    <w:p>
      <w:pPr>
        <w:pStyle w:val="Heading1"/>
      </w:pPr>
      <w:r>
        <w:t>4. Ours to decide, not David's</w:t>
      </w:r>
    </w:p>
    <w:p>
      <w:r>
        <w:rPr>
          <w:i w:val="0"/>
          <w:color w:val="141E2D"/>
          <w:sz w:val="21"/>
        </w:rPr>
        <w:t>These need no external answer. They are engineering decisions, and three of the four are cheaper to settle before the services are written than after.</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736"/>
            <w:vAlign w:val="center"/>
            <w:tcMar>
              <w:top w:w="80" w:type="dxa"/>
              <w:start w:w="120" w:type="dxa"/>
              <w:bottom w:w="80" w:type="dxa"/>
              <w:end w:w="120" w:type="dxa"/>
            </w:tcMar>
            <w:shd w:fill="E8EEF5"/>
          </w:tcPr>
          <w:p>
            <w:pPr>
              <w:spacing w:after="0"/>
            </w:pPr>
            <w:r>
              <w:rPr>
                <w:b/>
                <w:color w:val="141E2D"/>
                <w:sz w:val="19"/>
              </w:rPr>
              <w:t>Decision</w:t>
            </w:r>
          </w:p>
        </w:tc>
        <w:tc>
          <w:tcPr>
            <w:tcW w:type="dxa" w:w="6624"/>
            <w:vAlign w:val="center"/>
            <w:tcMar>
              <w:top w:w="80" w:type="dxa"/>
              <w:start w:w="120" w:type="dxa"/>
              <w:bottom w:w="80" w:type="dxa"/>
              <w:end w:w="120" w:type="dxa"/>
            </w:tcMar>
            <w:shd w:fill="E8EEF5"/>
          </w:tcPr>
          <w:p>
            <w:pPr>
              <w:spacing w:after="0"/>
            </w:pPr>
            <w:r>
              <w:rPr>
                <w:b/>
                <w:color w:val="141E2D"/>
                <w:sz w:val="19"/>
              </w:rPr>
              <w:t>Why it needs deciding now</w:t>
            </w:r>
          </w:p>
        </w:tc>
      </w:tr>
      <w:tr>
        <w:tc>
          <w:tcPr>
            <w:tcW w:type="dxa" w:w="4680"/>
            <w:shd w:fill="FFFFFF"/>
          </w:tcPr>
          <w:p>
            <w:pPr>
              <w:spacing w:after="0"/>
            </w:pPr>
            <w:r>
              <w:rPr>
                <w:color w:val="141E2D"/>
                <w:sz w:val="18"/>
              </w:rPr>
              <w:t>The score_confidence signature</w:t>
            </w:r>
          </w:p>
        </w:tc>
        <w:tc>
          <w:tcPr>
            <w:tcW w:type="dxa" w:w="4680"/>
            <w:shd w:fill="FFFFFF"/>
          </w:tcPr>
          <w:p>
            <w:pPr>
              <w:spacing w:after="0"/>
            </w:pPr>
            <w:r>
              <w:rPr>
                <w:color w:val="141E2D"/>
                <w:sz w:val="18"/>
              </w:rPr>
              <w:t>One project at a time, or a project plus portfolio context. Concentration cannot fire on a single row, and Korea is 89 percent of the raw pipeline at $73,350K of $82,350K.</w:t>
            </w:r>
          </w:p>
        </w:tc>
      </w:tr>
      <w:tr>
        <w:tc>
          <w:tcPr>
            <w:tcW w:type="dxa" w:w="4680"/>
            <w:shd w:fill="FFFFFF"/>
          </w:tcPr>
          <w:p>
            <w:pPr>
              <w:spacing w:after="0"/>
            </w:pPr>
            <w:r>
              <w:rPr>
                <w:color w:val="141E2D"/>
                <w:sz w:val="18"/>
              </w:rPr>
              <w:t>Repeatability and the audit log</w:t>
            </w:r>
          </w:p>
        </w:tc>
        <w:tc>
          <w:tcPr>
            <w:tcW w:type="dxa" w:w="4680"/>
            <w:shd w:fill="FFFFFF"/>
          </w:tcPr>
          <w:p>
            <w:pPr>
              <w:spacing w:after="0"/>
            </w:pPr>
            <w:r>
              <w:rPr>
                <w:color w:val="141E2D"/>
                <w:sz w:val="18"/>
              </w:rPr>
              <w:t>Two runs over the same data give different totals. The run record and audit log need to exist early, and more so now that the agent enters the number itself.</w:t>
            </w:r>
          </w:p>
        </w:tc>
      </w:tr>
      <w:tr>
        <w:tc>
          <w:tcPr>
            <w:tcW w:type="dxa" w:w="4680"/>
            <w:shd w:fill="FFFFFF"/>
          </w:tcPr>
          <w:p>
            <w:pPr>
              <w:spacing w:after="0"/>
            </w:pPr>
            <w:r>
              <w:rPr>
                <w:color w:val="141E2D"/>
                <w:sz w:val="18"/>
              </w:rPr>
              <w:t>Rubric wording</w:t>
            </w:r>
          </w:p>
        </w:tc>
        <w:tc>
          <w:tcPr>
            <w:tcW w:type="dxa" w:w="4680"/>
            <w:shd w:fill="FFFFFF"/>
          </w:tcPr>
          <w:p>
            <w:pPr>
              <w:spacing w:after="0"/>
            </w:pPr>
            <w:r>
              <w:rPr>
                <w:color w:val="141E2D"/>
                <w:sz w:val="18"/>
              </w:rPr>
              <w:t>Two factors misfired on the live run, penalising Montana and Aphrodite for a Design In at DVT that David's rules say is valid. The stage order also needs stating explicitly so DVT is not read as early.</w:t>
            </w:r>
          </w:p>
        </w:tc>
      </w:tr>
      <w:tr>
        <w:tc>
          <w:tcPr>
            <w:tcW w:type="dxa" w:w="4680"/>
            <w:shd w:fill="FFFFFF"/>
          </w:tcPr>
          <w:p>
            <w:pPr>
              <w:spacing w:after="0"/>
            </w:pPr>
            <w:r>
              <w:rPr>
                <w:color w:val="141E2D"/>
                <w:sz w:val="18"/>
              </w:rPr>
              <w:t>Intake field list</w:t>
            </w:r>
          </w:p>
        </w:tc>
        <w:tc>
          <w:tcPr>
            <w:tcW w:type="dxa" w:w="4680"/>
            <w:shd w:fill="FFFFFF"/>
          </w:tcPr>
          <w:p>
            <w:pPr>
              <w:spacing w:after="0"/>
            </w:pPr>
            <w:r>
              <w:rPr>
                <w:color w:val="141E2D"/>
                <w:sz w:val="18"/>
              </w:rPr>
              <w:t>Agree the field list with Dimple before the form and the service diverge. It now has to include opportunity ID, owner, Unit/Set, competitor part and loss reason.</w:t>
            </w:r>
          </w:p>
        </w:tc>
      </w:tr>
    </w:tbl>
    <w:p/>
    <w:p>
      <w:pPr>
        <w:pStyle w:val="Heading1"/>
      </w:pPr>
      <w:r>
        <w:t>5. What to send back first</w:t>
      </w:r>
    </w:p>
    <w:p>
      <w:r>
        <w:rPr>
          <w:i w:val="0"/>
          <w:color w:val="141E2D"/>
          <w:sz w:val="21"/>
        </w:rPr>
        <w:t>Questions 2.1, 2.3 and 2.6 are short asks that unblock the whole judgment layer. 2.5 is worth asking in the same message, because if a corrected workbook exists it may delete work rather than add it. Section 3 can follow once those four are 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