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b/>
          <w:color w:val="1F4D78"/>
          <w:sz w:val="48"/>
        </w:rPr>
        <w:t>Opportunity Tracking Agent</w:t>
      </w:r>
    </w:p>
    <w:p>
      <w:pPr>
        <w:spacing w:after="280"/>
      </w:pPr>
      <w:r>
        <w:rPr>
          <w:color w:val="5A5A5A"/>
          <w:sz w:val="26"/>
        </w:rPr>
        <w:t>Tab and field map: what every data point is for</w:t>
      </w:r>
    </w:p>
    <w:tbl>
      <w:tblPr>
        <w:tblW w:type="auto" w:w="0"/>
        <w:jc w:val="center"/>
        <w:tblLayout w:type="fixed"/>
        <w:tblLook w:firstColumn="1" w:firstRow="1" w:lastColumn="0" w:lastRow="0" w:noHBand="0" w:noVBand="1" w:val="04A0"/>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4680"/>
        <w:gridCol w:w="4680"/>
      </w:tblGrid>
      <w:tr>
        <w:tc>
          <w:tcPr>
            <w:tcW w:type="dxa" w:w="2016"/>
            <w:vAlign w:val="center"/>
            <w:tcMar>
              <w:top w:w="80" w:type="dxa"/>
              <w:start w:w="120" w:type="dxa"/>
              <w:bottom w:w="80" w:type="dxa"/>
              <w:end w:w="120" w:type="dxa"/>
            </w:tcMar>
            <w:shd w:fill="E8EEF5"/>
          </w:tcPr>
          <w:p>
            <w:pPr>
              <w:spacing w:after="0"/>
            </w:pPr>
            <w:r>
              <w:rPr>
                <w:b/>
                <w:color w:val="141E2D"/>
                <w:sz w:val="19"/>
              </w:rPr>
              <w:t>Field</w:t>
            </w:r>
          </w:p>
        </w:tc>
        <w:tc>
          <w:tcPr>
            <w:tcW w:type="dxa" w:w="7344"/>
            <w:vAlign w:val="center"/>
            <w:tcMar>
              <w:top w:w="80" w:type="dxa"/>
              <w:start w:w="120" w:type="dxa"/>
              <w:bottom w:w="80" w:type="dxa"/>
              <w:end w:w="120" w:type="dxa"/>
            </w:tcMar>
            <w:shd w:fill="E8EEF5"/>
          </w:tcPr>
          <w:p>
            <w:pPr>
              <w:spacing w:after="0"/>
            </w:pPr>
            <w:r>
              <w:rPr>
                <w:b/>
                <w:color w:val="141E2D"/>
                <w:sz w:val="19"/>
              </w:rPr>
              <w:t>Detail</w:t>
            </w:r>
          </w:p>
        </w:tc>
      </w:tr>
      <w:tr>
        <w:tc>
          <w:tcPr>
            <w:tcW w:type="dxa" w:w="4680"/>
            <w:shd w:fill="FFFFFF"/>
          </w:tcPr>
          <w:p>
            <w:pPr>
              <w:spacing w:after="0"/>
            </w:pPr>
            <w:r>
              <w:rPr>
                <w:color w:val="141E2D"/>
                <w:sz w:val="18"/>
              </w:rPr>
              <w:t>Purpose</w:t>
            </w:r>
          </w:p>
        </w:tc>
        <w:tc>
          <w:tcPr>
            <w:tcW w:type="dxa" w:w="4680"/>
            <w:shd w:fill="FFFFFF"/>
          </w:tcPr>
          <w:p>
            <w:pPr>
              <w:spacing w:after="0"/>
            </w:pPr>
            <w:r>
              <w:rPr>
                <w:color w:val="141E2D"/>
                <w:sz w:val="18"/>
              </w:rPr>
              <w:t>Map every tab and every column in TrackF (1).xlsx to its use, separating the four fields that reach the revenue math from the ones the agent reads for judgment, validation or grouping.</w:t>
            </w:r>
          </w:p>
        </w:tc>
      </w:tr>
      <w:tr>
        <w:tc>
          <w:tcPr>
            <w:tcW w:type="dxa" w:w="4680"/>
            <w:shd w:fill="FFFFFF"/>
          </w:tcPr>
          <w:p>
            <w:pPr>
              <w:spacing w:after="0"/>
            </w:pPr>
            <w:r>
              <w:rPr>
                <w:color w:val="141E2D"/>
                <w:sz w:val="18"/>
              </w:rPr>
              <w:t>Source</w:t>
            </w:r>
          </w:p>
        </w:tc>
        <w:tc>
          <w:tcPr>
            <w:tcW w:type="dxa" w:w="4680"/>
            <w:shd w:fill="FFFFFF"/>
          </w:tcPr>
          <w:p>
            <w:pPr>
              <w:spacing w:after="0"/>
            </w:pPr>
            <w:r>
              <w:rPr>
                <w:color w:val="141E2D"/>
                <w:sz w:val="18"/>
              </w:rPr>
              <w:t>TrackF (1).xlsx read directly. Column letters, formulas and example values are taken from the file, not from the earlier terms document.</w:t>
            </w:r>
          </w:p>
        </w:tc>
      </w:tr>
      <w:tr>
        <w:tc>
          <w:tcPr>
            <w:tcW w:type="dxa" w:w="4680"/>
            <w:shd w:fill="FFFFFF"/>
          </w:tcPr>
          <w:p>
            <w:pPr>
              <w:spacing w:after="0"/>
            </w:pPr>
            <w:r>
              <w:rPr>
                <w:color w:val="141E2D"/>
                <w:sz w:val="18"/>
              </w:rPr>
              <w:t>Tabs</w:t>
            </w:r>
          </w:p>
        </w:tc>
        <w:tc>
          <w:tcPr>
            <w:tcW w:type="dxa" w:w="4680"/>
            <w:shd w:fill="FFFFFF"/>
          </w:tcPr>
          <w:p>
            <w:pPr>
              <w:spacing w:after="0"/>
            </w:pPr>
            <w:r>
              <w:rPr>
                <w:color w:val="141E2D"/>
                <w:sz w:val="18"/>
              </w:rPr>
              <w:t>6 total. 4 carry opportunity records, 1 is a forecast output, 1 is dead.</w:t>
            </w:r>
          </w:p>
        </w:tc>
      </w:tr>
      <w:tr>
        <w:tc>
          <w:tcPr>
            <w:tcW w:type="dxa" w:w="4680"/>
            <w:shd w:fill="FFFFFF"/>
          </w:tcPr>
          <w:p>
            <w:pPr>
              <w:spacing w:after="0"/>
            </w:pPr>
            <w:r>
              <w:rPr>
                <w:color w:val="141E2D"/>
                <w:sz w:val="18"/>
              </w:rPr>
              <w:t>Version</w:t>
            </w:r>
          </w:p>
        </w:tc>
        <w:tc>
          <w:tcPr>
            <w:tcW w:type="dxa" w:w="4680"/>
            <w:shd w:fill="FFFFFF"/>
          </w:tcPr>
          <w:p>
            <w:pPr>
              <w:spacing w:after="0"/>
            </w:pPr>
            <w:r>
              <w:rPr>
                <w:color w:val="141E2D"/>
                <w:sz w:val="18"/>
              </w:rPr>
              <w:t>Rev 01, August 2026</w:t>
            </w:r>
          </w:p>
        </w:tc>
      </w:tr>
    </w:tbl>
    <w:p/>
    <w:p>
      <w:pPr>
        <w:pStyle w:val="Heading1"/>
      </w:pPr>
      <w:r>
        <w:t>1. The four fields that touch money</w:t>
      </w:r>
    </w:p>
    <w:p>
      <w:r>
        <w:rPr>
          <w:i w:val="0"/>
          <w:color w:val="141E2D"/>
          <w:sz w:val="21"/>
        </w:rPr>
        <w:t>Everything else in the workbook is a dimension, a validator or a note. Two formulas produce every currency figure in the file, and both are already reimplemented in calc_engine.py.</w:t>
      </w:r>
    </w:p>
    <w:tbl>
      <w:tblPr>
        <w:tblW w:type="auto" w:w="0"/>
        <w:jc w:val="center"/>
        <w:tblLayout w:type="fixed"/>
        <w:tblLook w:firstColumn="1" w:firstRow="1" w:lastColumn="0" w:lastRow="0" w:noHBand="0" w:noVBand="1" w:val="04A0"/>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3120"/>
        <w:gridCol w:w="3120"/>
        <w:gridCol w:w="3120"/>
      </w:tblGrid>
      <w:tr>
        <w:tc>
          <w:tcPr>
            <w:tcW w:type="dxa" w:w="1872"/>
            <w:vAlign w:val="center"/>
            <w:tcMar>
              <w:top w:w="80" w:type="dxa"/>
              <w:start w:w="120" w:type="dxa"/>
              <w:bottom w:w="80" w:type="dxa"/>
              <w:end w:w="120" w:type="dxa"/>
            </w:tcMar>
            <w:shd w:fill="E6F2E6"/>
          </w:tcPr>
          <w:p>
            <w:pPr>
              <w:spacing w:after="0"/>
            </w:pPr>
            <w:r>
              <w:rPr>
                <w:b/>
                <w:color w:val="141E2D"/>
                <w:sz w:val="19"/>
              </w:rPr>
              <w:t>Formula</w:t>
            </w:r>
          </w:p>
        </w:tc>
        <w:tc>
          <w:tcPr>
            <w:tcW w:type="dxa" w:w="4176"/>
            <w:vAlign w:val="center"/>
            <w:tcMar>
              <w:top w:w="80" w:type="dxa"/>
              <w:start w:w="120" w:type="dxa"/>
              <w:bottom w:w="80" w:type="dxa"/>
              <w:end w:w="120" w:type="dxa"/>
            </w:tcMar>
            <w:shd w:fill="E6F2E6"/>
          </w:tcPr>
          <w:p>
            <w:pPr>
              <w:spacing w:after="0"/>
            </w:pPr>
            <w:r>
              <w:rPr>
                <w:b/>
                <w:color w:val="141E2D"/>
                <w:sz w:val="19"/>
              </w:rPr>
              <w:t>In the workbook</w:t>
            </w:r>
          </w:p>
        </w:tc>
        <w:tc>
          <w:tcPr>
            <w:tcW w:type="dxa" w:w="3312"/>
            <w:vAlign w:val="center"/>
            <w:tcMar>
              <w:top w:w="80" w:type="dxa"/>
              <w:start w:w="120" w:type="dxa"/>
              <w:bottom w:w="80" w:type="dxa"/>
              <w:end w:w="120" w:type="dxa"/>
            </w:tcMar>
            <w:shd w:fill="E6F2E6"/>
          </w:tcPr>
          <w:p>
            <w:pPr>
              <w:spacing w:after="0"/>
            </w:pPr>
            <w:r>
              <w:rPr>
                <w:b/>
                <w:color w:val="141E2D"/>
                <w:sz w:val="19"/>
              </w:rPr>
              <w:t>Inputs</w:t>
            </w:r>
          </w:p>
        </w:tc>
      </w:tr>
      <w:tr>
        <w:tc>
          <w:tcPr>
            <w:tcW w:type="dxa" w:w="3120"/>
            <w:shd w:fill="FFFFFF"/>
          </w:tcPr>
          <w:p>
            <w:pPr>
              <w:spacing w:after="0"/>
            </w:pPr>
            <w:r>
              <w:rPr>
                <w:color w:val="141E2D"/>
                <w:sz w:val="18"/>
              </w:rPr>
              <w:t>Sales Revenue</w:t>
            </w:r>
          </w:p>
        </w:tc>
        <w:tc>
          <w:tcPr>
            <w:tcW w:type="dxa" w:w="3120"/>
            <w:shd w:fill="FFFFFF"/>
          </w:tcPr>
          <w:p>
            <w:pPr>
              <w:spacing w:after="0"/>
            </w:pPr>
            <w:r>
              <w:rPr>
                <w:color w:val="141E2D"/>
                <w:sz w:val="18"/>
              </w:rPr>
              <w:t>ProjectTrack O = K * M. Mass Production and Design Lost N = J * L. Same maths, different column letters, because those two tabs have no Stage column.</w:t>
            </w:r>
          </w:p>
        </w:tc>
        <w:tc>
          <w:tcPr>
            <w:tcW w:type="dxa" w:w="3120"/>
            <w:shd w:fill="FFFFFF"/>
          </w:tcPr>
          <w:p>
            <w:pPr>
              <w:spacing w:after="0"/>
            </w:pPr>
            <w:r>
              <w:rPr>
                <w:color w:val="141E2D"/>
                <w:sz w:val="18"/>
              </w:rPr>
              <w:t>EAU [Kpcs] and Disty Cost (ASP). Result is in $K because EAU is already in thousands.</w:t>
            </w:r>
          </w:p>
        </w:tc>
      </w:tr>
      <w:tr>
        <w:tc>
          <w:tcPr>
            <w:tcW w:type="dxa" w:w="3120"/>
            <w:shd w:fill="FFFFFF"/>
          </w:tcPr>
          <w:p>
            <w:pPr>
              <w:spacing w:after="0"/>
            </w:pPr>
            <w:r>
              <w:rPr>
                <w:color w:val="141E2D"/>
                <w:sz w:val="18"/>
              </w:rPr>
              <w:t>Adjusted Revenue</w:t>
            </w:r>
          </w:p>
        </w:tc>
        <w:tc>
          <w:tcPr>
            <w:tcW w:type="dxa" w:w="3120"/>
            <w:shd w:fill="FFFFFF"/>
          </w:tcPr>
          <w:p>
            <w:pPr>
              <w:spacing w:after="0"/>
            </w:pPr>
            <w:r>
              <w:rPr>
                <w:color w:val="141E2D"/>
                <w:sz w:val="18"/>
              </w:rPr>
              <w:t>ProjectTrack R = O * Q. Mass Production and Design Lost Q = N * P.</w:t>
            </w:r>
          </w:p>
        </w:tc>
        <w:tc>
          <w:tcPr>
            <w:tcW w:type="dxa" w:w="3120"/>
            <w:shd w:fill="FFFFFF"/>
          </w:tcPr>
          <w:p>
            <w:pPr>
              <w:spacing w:after="0"/>
            </w:pPr>
            <w:r>
              <w:rPr>
                <w:color w:val="141E2D"/>
                <w:sz w:val="18"/>
              </w:rPr>
              <w:t>Sales Revenue and Confidence Level.</w:t>
            </w:r>
          </w:p>
        </w:tc>
      </w:tr>
      <w:tr>
        <w:tc>
          <w:tcPr>
            <w:tcW w:type="dxa" w:w="3120"/>
            <w:shd w:fill="FFFFFF"/>
          </w:tcPr>
          <w:p>
            <w:pPr>
              <w:spacing w:after="0"/>
            </w:pPr>
            <w:r>
              <w:rPr>
                <w:color w:val="141E2D"/>
                <w:sz w:val="18"/>
              </w:rPr>
              <w:t>Quarterly Revenue</w:t>
            </w:r>
          </w:p>
        </w:tc>
        <w:tc>
          <w:tcPr>
            <w:tcW w:type="dxa" w:w="3120"/>
            <w:shd w:fill="FFFFFF"/>
          </w:tcPr>
          <w:p>
            <w:pPr>
              <w:spacing w:after="0"/>
            </w:pPr>
            <w:r>
              <w:rPr>
                <w:color w:val="141E2D"/>
                <w:sz w:val="18"/>
              </w:rPr>
              <w:t>FCST_Revenue S:V = L * N:Q for CY25, AC:AF = L * X:AA for CY26.</w:t>
            </w:r>
          </w:p>
        </w:tc>
        <w:tc>
          <w:tcPr>
            <w:tcW w:type="dxa" w:w="3120"/>
            <w:shd w:fill="FFFFFF"/>
          </w:tcPr>
          <w:p>
            <w:pPr>
              <w:spacing w:after="0"/>
            </w:pPr>
            <w:r>
              <w:rPr>
                <w:color w:val="141E2D"/>
                <w:sz w:val="18"/>
              </w:rPr>
              <w:t>Quarterly units, entered by hand per quarter, and Disty Cost (ASP).</w:t>
            </w:r>
          </w:p>
        </w:tc>
      </w:tr>
    </w:tbl>
    <w:p/>
    <w:p>
      <w:r>
        <w:rPr>
          <w:i/>
          <w:color w:val="141E2D"/>
          <w:sz w:val="21"/>
        </w:rPr>
        <w:t>Confidence Level is the only one of the four the agent may write. EAU, ASP and the quarterly unit splits stay with the person who owns the account.</w:t>
      </w:r>
    </w:p>
    <w:p>
      <w:pPr>
        <w:pStyle w:val="Heading1"/>
      </w:pPr>
      <w:r>
        <w:t>2. ProjectTrack</w:t>
      </w:r>
    </w:p>
    <w:p>
      <w:r>
        <w:rPr>
          <w:i w:val="0"/>
          <w:color w:val="141E2D"/>
          <w:sz w:val="21"/>
        </w:rPr>
        <w:t>The primary tab and the only one carrying both Stage and Confidence, which is why the POC runs on it. Header sits on row 3 with a second header line on row 4, so Confidence Level reads across two rows. Rows 5 to 13 are complete. Rows 14 to 18 are skeletons.</w:t>
      </w:r>
    </w:p>
    <w:tbl>
      <w:tblPr>
        <w:tblW w:type="auto" w:w="0"/>
        <w:jc w:val="center"/>
        <w:tblLayout w:type="fixed"/>
        <w:tblLook w:firstColumn="1" w:firstRow="1" w:lastColumn="0" w:lastRow="0" w:noHBand="0" w:noVBand="1" w:val="04A0"/>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2340"/>
        <w:gridCol w:w="2340"/>
        <w:gridCol w:w="2340"/>
        <w:gridCol w:w="2340"/>
      </w:tblGrid>
      <w:tr>
        <w:tc>
          <w:tcPr>
            <w:tcW w:type="dxa" w:w="1800"/>
            <w:vAlign w:val="center"/>
            <w:tcMar>
              <w:top w:w="80" w:type="dxa"/>
              <w:start w:w="120" w:type="dxa"/>
              <w:bottom w:w="80" w:type="dxa"/>
              <w:end w:w="120" w:type="dxa"/>
            </w:tcMar>
            <w:shd w:fill="E8EEF5"/>
          </w:tcPr>
          <w:p>
            <w:pPr>
              <w:spacing w:after="0"/>
            </w:pPr>
            <w:r>
              <w:rPr>
                <w:b/>
                <w:color w:val="141E2D"/>
                <w:sz w:val="19"/>
              </w:rPr>
              <w:t>Column</w:t>
            </w:r>
          </w:p>
        </w:tc>
        <w:tc>
          <w:tcPr>
            <w:tcW w:type="dxa" w:w="1512"/>
            <w:vAlign w:val="center"/>
            <w:tcMar>
              <w:top w:w="80" w:type="dxa"/>
              <w:start w:w="120" w:type="dxa"/>
              <w:bottom w:w="80" w:type="dxa"/>
              <w:end w:w="120" w:type="dxa"/>
            </w:tcMar>
            <w:shd w:fill="E8EEF5"/>
          </w:tcPr>
          <w:p>
            <w:pPr>
              <w:spacing w:after="0"/>
            </w:pPr>
            <w:r>
              <w:rPr>
                <w:b/>
                <w:color w:val="141E2D"/>
                <w:sz w:val="19"/>
              </w:rPr>
              <w:t>Example</w:t>
            </w:r>
          </w:p>
        </w:tc>
        <w:tc>
          <w:tcPr>
            <w:tcW w:type="dxa" w:w="1944"/>
            <w:vAlign w:val="center"/>
            <w:tcMar>
              <w:top w:w="80" w:type="dxa"/>
              <w:start w:w="120" w:type="dxa"/>
              <w:bottom w:w="80" w:type="dxa"/>
              <w:end w:w="120" w:type="dxa"/>
            </w:tcMar>
            <w:shd w:fill="E8EEF5"/>
          </w:tcPr>
          <w:p>
            <w:pPr>
              <w:spacing w:after="0"/>
            </w:pPr>
            <w:r>
              <w:rPr>
                <w:b/>
                <w:color w:val="141E2D"/>
                <w:sz w:val="19"/>
              </w:rPr>
              <w:t>Calculation use</w:t>
            </w:r>
          </w:p>
        </w:tc>
        <w:tc>
          <w:tcPr>
            <w:tcW w:type="dxa" w:w="4104"/>
            <w:vAlign w:val="center"/>
            <w:tcMar>
              <w:top w:w="80" w:type="dxa"/>
              <w:start w:w="120" w:type="dxa"/>
              <w:bottom w:w="80" w:type="dxa"/>
              <w:end w:w="120" w:type="dxa"/>
            </w:tcMar>
            <w:shd w:fill="E8EEF5"/>
          </w:tcPr>
          <w:p>
            <w:pPr>
              <w:spacing w:after="0"/>
            </w:pPr>
            <w:r>
              <w:rPr>
                <w:b/>
                <w:color w:val="141E2D"/>
                <w:sz w:val="19"/>
              </w:rPr>
              <w:t>How the agent uses it</w:t>
            </w:r>
          </w:p>
        </w:tc>
      </w:tr>
      <w:tr>
        <w:tc>
          <w:tcPr>
            <w:tcW w:type="dxa" w:w="2340"/>
            <w:shd w:fill="FFFFFF"/>
          </w:tcPr>
          <w:p>
            <w:pPr>
              <w:spacing w:after="0"/>
            </w:pPr>
            <w:r>
              <w:rPr>
                <w:color w:val="141E2D"/>
                <w:sz w:val="18"/>
              </w:rPr>
              <w:t>A Region</w:t>
            </w:r>
          </w:p>
        </w:tc>
        <w:tc>
          <w:tcPr>
            <w:tcW w:type="dxa" w:w="2340"/>
            <w:shd w:fill="FFFFFF"/>
          </w:tcPr>
          <w:p>
            <w:pPr>
              <w:spacing w:after="0"/>
            </w:pPr>
            <w:r>
              <w:rPr>
                <w:color w:val="141E2D"/>
                <w:sz w:val="18"/>
              </w:rPr>
              <w:t>Korea, EU, Taiwan, North America, Japan</w:t>
            </w:r>
          </w:p>
        </w:tc>
        <w:tc>
          <w:tcPr>
            <w:tcW w:type="dxa" w:w="2340"/>
            <w:shd w:fill="FFFFFF"/>
          </w:tcPr>
          <w:p>
            <w:pPr>
              <w:spacing w:after="0"/>
            </w:pPr>
            <w:r>
              <w:rPr>
                <w:color w:val="141E2D"/>
                <w:sz w:val="18"/>
              </w:rPr>
              <w:t>No</w:t>
            </w:r>
          </w:p>
        </w:tc>
        <w:tc>
          <w:tcPr>
            <w:tcW w:type="dxa" w:w="2340"/>
            <w:shd w:fill="FFFFFF"/>
          </w:tcPr>
          <w:p>
            <w:pPr>
              <w:spacing w:after="0"/>
            </w:pPr>
            <w:r>
              <w:rPr>
                <w:color w:val="141E2D"/>
                <w:sz w:val="18"/>
              </w:rPr>
              <w:t>Roll-up key. Must be canonicalised first, because portfolio_rollup groups on the raw string and this tab says Korea while other tabs say KR.</w:t>
            </w:r>
          </w:p>
        </w:tc>
      </w:tr>
      <w:tr>
        <w:tc>
          <w:tcPr>
            <w:tcW w:type="dxa" w:w="2340"/>
            <w:shd w:fill="FFFFFF"/>
          </w:tcPr>
          <w:p>
            <w:pPr>
              <w:spacing w:after="0"/>
            </w:pPr>
            <w:r>
              <w:rPr>
                <w:color w:val="141E2D"/>
                <w:sz w:val="18"/>
              </w:rPr>
              <w:t>B Customer</w:t>
            </w:r>
          </w:p>
        </w:tc>
        <w:tc>
          <w:tcPr>
            <w:tcW w:type="dxa" w:w="2340"/>
            <w:shd w:fill="FFFFFF"/>
          </w:tcPr>
          <w:p>
            <w:pPr>
              <w:spacing w:after="0"/>
            </w:pPr>
            <w:r>
              <w:rPr>
                <w:color w:val="141E2D"/>
                <w:sz w:val="18"/>
              </w:rPr>
              <w:t>SLM, Flextron, ODE, Foxc</w:t>
            </w:r>
          </w:p>
        </w:tc>
        <w:tc>
          <w:tcPr>
            <w:tcW w:type="dxa" w:w="2340"/>
            <w:shd w:fill="FFFFFF"/>
          </w:tcPr>
          <w:p>
            <w:pPr>
              <w:spacing w:after="0"/>
            </w:pPr>
            <w:r>
              <w:rPr>
                <w:color w:val="141E2D"/>
                <w:sz w:val="18"/>
              </w:rPr>
              <w:t>No</w:t>
            </w:r>
          </w:p>
        </w:tc>
        <w:tc>
          <w:tcPr>
            <w:tcW w:type="dxa" w:w="2340"/>
            <w:shd w:fill="FFFFFF"/>
          </w:tcPr>
          <w:p>
            <w:pPr>
              <w:spacing w:after="0"/>
            </w:pPr>
            <w:r>
              <w:rPr>
                <w:color w:val="141E2D"/>
                <w:sz w:val="18"/>
              </w:rPr>
              <w:t>Account dimension. Feeds concentration analysis and the customer half of the roll-up tree.</w:t>
            </w:r>
          </w:p>
        </w:tc>
      </w:tr>
      <w:tr>
        <w:tc>
          <w:tcPr>
            <w:tcW w:type="dxa" w:w="2340"/>
            <w:shd w:fill="FFFFFF"/>
          </w:tcPr>
          <w:p>
            <w:pPr>
              <w:spacing w:after="0"/>
            </w:pPr>
            <w:r>
              <w:rPr>
                <w:color w:val="141E2D"/>
                <w:sz w:val="18"/>
              </w:rPr>
              <w:t>C End Customer</w:t>
            </w:r>
          </w:p>
        </w:tc>
        <w:tc>
          <w:tcPr>
            <w:tcW w:type="dxa" w:w="2340"/>
            <w:shd w:fill="FFFFFF"/>
          </w:tcPr>
          <w:p>
            <w:pPr>
              <w:spacing w:after="0"/>
            </w:pPr>
            <w:r>
              <w:rPr>
                <w:color w:val="141E2D"/>
                <w:sz w:val="18"/>
              </w:rPr>
              <w:t>GM, Ford, BMWi, Forde</w:t>
            </w:r>
          </w:p>
        </w:tc>
        <w:tc>
          <w:tcPr>
            <w:tcW w:type="dxa" w:w="2340"/>
            <w:shd w:fill="FFFFFF"/>
          </w:tcPr>
          <w:p>
            <w:pPr>
              <w:spacing w:after="0"/>
            </w:pPr>
            <w:r>
              <w:rPr>
                <w:color w:val="141E2D"/>
                <w:sz w:val="18"/>
              </w:rPr>
              <w:t>No</w:t>
            </w:r>
          </w:p>
        </w:tc>
        <w:tc>
          <w:tcPr>
            <w:tcW w:type="dxa" w:w="2340"/>
            <w:shd w:fill="FFFFFF"/>
          </w:tcPr>
          <w:p>
            <w:pPr>
              <w:spacing w:after="0"/>
            </w:pPr>
            <w:r>
              <w:rPr>
                <w:color w:val="141E2D"/>
                <w:sz w:val="18"/>
              </w:rPr>
              <w:t>OEM dimension. This is where real concentration shows up, since several direct customers can sit behind one OEM.</w:t>
            </w:r>
          </w:p>
        </w:tc>
      </w:tr>
      <w:tr>
        <w:tc>
          <w:tcPr>
            <w:tcW w:type="dxa" w:w="2340"/>
            <w:shd w:fill="FFFFFF"/>
          </w:tcPr>
          <w:p>
            <w:pPr>
              <w:spacing w:after="0"/>
            </w:pPr>
            <w:r>
              <w:rPr>
                <w:color w:val="141E2D"/>
                <w:sz w:val="18"/>
              </w:rPr>
              <w:t>D Project Name</w:t>
            </w:r>
          </w:p>
        </w:tc>
        <w:tc>
          <w:tcPr>
            <w:tcW w:type="dxa" w:w="2340"/>
            <w:shd w:fill="FFFFFF"/>
          </w:tcPr>
          <w:p>
            <w:pPr>
              <w:spacing w:after="0"/>
            </w:pPr>
            <w:r>
              <w:rPr>
                <w:color w:val="141E2D"/>
                <w:sz w:val="18"/>
              </w:rPr>
              <w:t>Hercules, Aphrodite, Hermes</w:t>
            </w:r>
          </w:p>
        </w:tc>
        <w:tc>
          <w:tcPr>
            <w:tcW w:type="dxa" w:w="2340"/>
            <w:shd w:fill="FFFFFF"/>
          </w:tcPr>
          <w:p>
            <w:pPr>
              <w:spacing w:after="0"/>
            </w:pPr>
            <w:r>
              <w:rPr>
                <w:color w:val="141E2D"/>
                <w:sz w:val="18"/>
              </w:rPr>
              <w:t>No</w:t>
            </w:r>
          </w:p>
        </w:tc>
        <w:tc>
          <w:tcPr>
            <w:tcW w:type="dxa" w:w="2340"/>
            <w:shd w:fill="FFFFFF"/>
          </w:tcPr>
          <w:p>
            <w:pPr>
              <w:spacing w:after="0"/>
            </w:pPr>
            <w:r>
              <w:rPr>
                <w:color w:val="141E2D"/>
                <w:sz w:val="18"/>
              </w:rPr>
              <w:t>The de facto identity today. Joins made on it are unreliable, which is why an Opportunity ID sits first in the fix order.</w:t>
            </w:r>
          </w:p>
        </w:tc>
      </w:tr>
      <w:tr>
        <w:tc>
          <w:tcPr>
            <w:tcW w:type="dxa" w:w="2340"/>
            <w:shd w:fill="FFFFFF"/>
          </w:tcPr>
          <w:p>
            <w:pPr>
              <w:spacing w:after="0"/>
            </w:pPr>
            <w:r>
              <w:rPr>
                <w:color w:val="141E2D"/>
                <w:sz w:val="18"/>
              </w:rPr>
              <w:t>E Application</w:t>
            </w:r>
          </w:p>
        </w:tc>
        <w:tc>
          <w:tcPr>
            <w:tcW w:type="dxa" w:w="2340"/>
            <w:shd w:fill="FFFFFF"/>
          </w:tcPr>
          <w:p>
            <w:pPr>
              <w:spacing w:after="0"/>
            </w:pPr>
            <w:r>
              <w:rPr>
                <w:color w:val="141E2D"/>
                <w:sz w:val="18"/>
              </w:rPr>
              <w:t>ADAS, Powertrain, Lamp</w:t>
            </w:r>
          </w:p>
        </w:tc>
        <w:tc>
          <w:tcPr>
            <w:tcW w:type="dxa" w:w="2340"/>
            <w:shd w:fill="FFFFFF"/>
          </w:tcPr>
          <w:p>
            <w:pPr>
              <w:spacing w:after="0"/>
            </w:pPr>
            <w:r>
              <w:rPr>
                <w:color w:val="141E2D"/>
                <w:sz w:val="18"/>
              </w:rPr>
              <w:t>No</w:t>
            </w:r>
          </w:p>
        </w:tc>
        <w:tc>
          <w:tcPr>
            <w:tcW w:type="dxa" w:w="2340"/>
            <w:shd w:fill="FFFFFF"/>
          </w:tcPr>
          <w:p>
            <w:pPr>
              <w:spacing w:after="0"/>
            </w:pPr>
            <w:r>
              <w:rPr>
                <w:color w:val="141E2D"/>
                <w:sz w:val="18"/>
              </w:rPr>
              <w:t>Segment dimension. Used to match opportunities against vehicle programmes later.</w:t>
            </w:r>
          </w:p>
        </w:tc>
      </w:tr>
      <w:tr>
        <w:tc>
          <w:tcPr>
            <w:tcW w:type="dxa" w:w="2340"/>
            <w:shd w:fill="FFFFFF"/>
          </w:tcPr>
          <w:p>
            <w:pPr>
              <w:spacing w:after="0"/>
            </w:pPr>
            <w:r>
              <w:rPr>
                <w:color w:val="141E2D"/>
                <w:sz w:val="18"/>
              </w:rPr>
              <w:t>F Product Line</w:t>
            </w:r>
          </w:p>
        </w:tc>
        <w:tc>
          <w:tcPr>
            <w:tcW w:type="dxa" w:w="2340"/>
            <w:shd w:fill="FFFFFF"/>
          </w:tcPr>
          <w:p>
            <w:pPr>
              <w:spacing w:after="0"/>
            </w:pPr>
            <w:r>
              <w:rPr>
                <w:color w:val="141E2D"/>
                <w:sz w:val="18"/>
              </w:rPr>
              <w:t>SerDes, IGD, LED Lighting</w:t>
            </w:r>
          </w:p>
        </w:tc>
        <w:tc>
          <w:tcPr>
            <w:tcW w:type="dxa" w:w="2340"/>
            <w:shd w:fill="FFFFFF"/>
          </w:tcPr>
          <w:p>
            <w:pPr>
              <w:spacing w:after="0"/>
            </w:pPr>
            <w:r>
              <w:rPr>
                <w:color w:val="141E2D"/>
                <w:sz w:val="18"/>
              </w:rPr>
              <w:t>No</w:t>
            </w:r>
          </w:p>
        </w:tc>
        <w:tc>
          <w:tcPr>
            <w:tcW w:type="dxa" w:w="2340"/>
            <w:shd w:fill="FFFFFF"/>
          </w:tcPr>
          <w:p>
            <w:pPr>
              <w:spacing w:after="0"/>
            </w:pPr>
            <w:r>
              <w:rPr>
                <w:color w:val="141E2D"/>
                <w:sz w:val="18"/>
              </w:rPr>
              <w:t>Product dimension. Groups the pipeline by what is being sold rather than who buys it.</w:t>
            </w:r>
          </w:p>
        </w:tc>
      </w:tr>
      <w:tr>
        <w:tc>
          <w:tcPr>
            <w:tcW w:type="dxa" w:w="2340"/>
            <w:shd w:fill="FFFFFF"/>
          </w:tcPr>
          <w:p>
            <w:pPr>
              <w:spacing w:after="0"/>
            </w:pPr>
            <w:r>
              <w:rPr>
                <w:color w:val="141E2D"/>
                <w:sz w:val="18"/>
              </w:rPr>
              <w:t>G Part#</w:t>
            </w:r>
          </w:p>
        </w:tc>
        <w:tc>
          <w:tcPr>
            <w:tcW w:type="dxa" w:w="2340"/>
            <w:shd w:fill="FFFFFF"/>
          </w:tcPr>
          <w:p>
            <w:pPr>
              <w:spacing w:after="0"/>
            </w:pPr>
            <w:r>
              <w:rPr>
                <w:color w:val="141E2D"/>
                <w:sz w:val="18"/>
              </w:rPr>
              <w:t>AX01, AX10, AX20</w:t>
            </w:r>
          </w:p>
        </w:tc>
        <w:tc>
          <w:tcPr>
            <w:tcW w:type="dxa" w:w="2340"/>
            <w:shd w:fill="FFFFFF"/>
          </w:tcPr>
          <w:p>
            <w:pPr>
              <w:spacing w:after="0"/>
            </w:pPr>
            <w:r>
              <w:rPr>
                <w:color w:val="141E2D"/>
                <w:sz w:val="18"/>
              </w:rPr>
              <w:t>No</w:t>
            </w:r>
          </w:p>
        </w:tc>
        <w:tc>
          <w:tcPr>
            <w:tcW w:type="dxa" w:w="2340"/>
            <w:shd w:fill="FFFFFF"/>
          </w:tcPr>
          <w:p>
            <w:pPr>
              <w:spacing w:after="0"/>
            </w:pPr>
            <w:r>
              <w:rPr>
                <w:color w:val="141E2D"/>
                <w:sz w:val="18"/>
              </w:rPr>
              <w:t>Supply key. Aggregates unit demand across every socket using the same part, which is the input capacity planning needs. AX01 appears on six rows.</w:t>
            </w:r>
          </w:p>
        </w:tc>
      </w:tr>
      <w:tr>
        <w:tc>
          <w:tcPr>
            <w:tcW w:type="dxa" w:w="2340"/>
            <w:shd w:fill="FFFFFF"/>
          </w:tcPr>
          <w:p>
            <w:pPr>
              <w:spacing w:after="0"/>
            </w:pPr>
            <w:r>
              <w:rPr>
                <w:color w:val="141E2D"/>
                <w:sz w:val="18"/>
              </w:rPr>
              <w:t>H Design Status</w:t>
            </w:r>
          </w:p>
        </w:tc>
        <w:tc>
          <w:tcPr>
            <w:tcW w:type="dxa" w:w="2340"/>
            <w:shd w:fill="FFFFFF"/>
          </w:tcPr>
          <w:p>
            <w:pPr>
              <w:spacing w:after="0"/>
            </w:pPr>
            <w:r>
              <w:rPr>
                <w:color w:val="141E2D"/>
                <w:sz w:val="18"/>
              </w:rPr>
              <w:t>Design Win, Design In, Sample, Promotion, Evaluation</w:t>
            </w:r>
          </w:p>
        </w:tc>
        <w:tc>
          <w:tcPr>
            <w:tcW w:type="dxa" w:w="2340"/>
            <w:shd w:fill="FFFFFF"/>
          </w:tcPr>
          <w:p>
            <w:pPr>
              <w:spacing w:after="0"/>
            </w:pPr>
            <w:r>
              <w:rPr>
                <w:color w:val="141E2D"/>
                <w:sz w:val="18"/>
              </w:rPr>
              <w:t>No</w:t>
            </w:r>
          </w:p>
        </w:tc>
        <w:tc>
          <w:tcPr>
            <w:tcW w:type="dxa" w:w="2340"/>
            <w:shd w:fill="FFFFFF"/>
          </w:tcPr>
          <w:p>
            <w:pPr>
              <w:spacing w:after="0"/>
            </w:pPr>
            <w:r>
              <w:rPr>
                <w:color w:val="141E2D"/>
                <w:sz w:val="18"/>
              </w:rPr>
              <w:t>Half of the lifecycle state. Checked against Stage by the mismatch rule, and becomes the state field plus event log once this leaves Excel.</w:t>
            </w:r>
          </w:p>
        </w:tc>
      </w:tr>
      <w:tr>
        <w:tc>
          <w:tcPr>
            <w:tcW w:type="dxa" w:w="2340"/>
            <w:shd w:fill="FFFFFF"/>
          </w:tcPr>
          <w:p>
            <w:pPr>
              <w:spacing w:after="0"/>
            </w:pPr>
            <w:r>
              <w:rPr>
                <w:color w:val="141E2D"/>
                <w:sz w:val="18"/>
              </w:rPr>
              <w:t>I Stage</w:t>
            </w:r>
          </w:p>
        </w:tc>
        <w:tc>
          <w:tcPr>
            <w:tcW w:type="dxa" w:w="2340"/>
            <w:shd w:fill="FFFFFF"/>
          </w:tcPr>
          <w:p>
            <w:pPr>
              <w:spacing w:after="0"/>
            </w:pPr>
            <w:r>
              <w:rPr>
                <w:color w:val="141E2D"/>
                <w:sz w:val="18"/>
              </w:rPr>
              <w:t>PVT, DVT, EVT, Concept</w:t>
            </w:r>
          </w:p>
        </w:tc>
        <w:tc>
          <w:tcPr>
            <w:tcW w:type="dxa" w:w="2340"/>
            <w:shd w:fill="FFFFFF"/>
          </w:tcPr>
          <w:p>
            <w:pPr>
              <w:spacing w:after="0"/>
            </w:pPr>
            <w:r>
              <w:rPr>
                <w:color w:val="141E2D"/>
                <w:sz w:val="18"/>
              </w:rPr>
              <w:t>No</w:t>
            </w:r>
          </w:p>
        </w:tc>
        <w:tc>
          <w:tcPr>
            <w:tcW w:type="dxa" w:w="2340"/>
            <w:shd w:fill="FFFFFF"/>
          </w:tcPr>
          <w:p>
            <w:pPr>
              <w:spacing w:after="0"/>
            </w:pPr>
            <w:r>
              <w:rPr>
                <w:color w:val="141E2D"/>
                <w:sz w:val="18"/>
              </w:rPr>
              <w:t>The validation axis, and the field David says confidence is currently derived from. Only this tab has it.</w:t>
            </w:r>
          </w:p>
        </w:tc>
      </w:tr>
      <w:tr>
        <w:tc>
          <w:tcPr>
            <w:tcW w:type="dxa" w:w="2340"/>
            <w:shd w:fill="FFFFFF"/>
          </w:tcPr>
          <w:p>
            <w:pPr>
              <w:spacing w:after="0"/>
            </w:pPr>
            <w:r>
              <w:rPr>
                <w:color w:val="141E2D"/>
                <w:sz w:val="18"/>
              </w:rPr>
              <w:t>J M/P</w:t>
            </w:r>
          </w:p>
        </w:tc>
        <w:tc>
          <w:tcPr>
            <w:tcW w:type="dxa" w:w="2340"/>
            <w:shd w:fill="FFFFFF"/>
          </w:tcPr>
          <w:p>
            <w:pPr>
              <w:spacing w:after="0"/>
            </w:pPr>
            <w:r>
              <w:rPr>
                <w:color w:val="141E2D"/>
                <w:sz w:val="18"/>
              </w:rPr>
              <w:t>Sep'26, Feb'27, June'27</w:t>
            </w:r>
          </w:p>
        </w:tc>
        <w:tc>
          <w:tcPr>
            <w:tcW w:type="dxa" w:w="2340"/>
            <w:shd w:fill="FFFFFF"/>
          </w:tcPr>
          <w:p>
            <w:pPr>
              <w:spacing w:after="0"/>
            </w:pPr>
            <w:r>
              <w:rPr>
                <w:color w:val="141E2D"/>
                <w:sz w:val="18"/>
              </w:rPr>
              <w:t>No</w:t>
            </w:r>
          </w:p>
        </w:tc>
        <w:tc>
          <w:tcPr>
            <w:tcW w:type="dxa" w:w="2340"/>
            <w:shd w:fill="FFFFFF"/>
          </w:tcPr>
          <w:p>
            <w:pPr>
              <w:spacing w:after="0"/>
            </w:pPr>
            <w:r>
              <w:rPr>
                <w:color w:val="141E2D"/>
                <w:sz w:val="18"/>
              </w:rPr>
              <w:t>Expected production date. Drives quarterly phasing, overdue checks, and the trigger for an auto-move into Mass Production.</w:t>
            </w:r>
          </w:p>
        </w:tc>
      </w:tr>
      <w:tr>
        <w:tc>
          <w:tcPr>
            <w:tcW w:type="dxa" w:w="2340"/>
            <w:shd w:fill="FFFFFF"/>
          </w:tcPr>
          <w:p>
            <w:pPr>
              <w:spacing w:after="0"/>
            </w:pPr>
            <w:r>
              <w:rPr>
                <w:color w:val="141E2D"/>
                <w:sz w:val="18"/>
              </w:rPr>
              <w:t>K EAU [Kpcs]</w:t>
            </w:r>
          </w:p>
        </w:tc>
        <w:tc>
          <w:tcPr>
            <w:tcW w:type="dxa" w:w="2340"/>
            <w:shd w:fill="FFFFFF"/>
          </w:tcPr>
          <w:p>
            <w:pPr>
              <w:spacing w:after="0"/>
            </w:pPr>
            <w:r>
              <w:rPr>
                <w:color w:val="141E2D"/>
                <w:sz w:val="18"/>
              </w:rPr>
              <w:t>1100, 10000, 250</w:t>
            </w:r>
          </w:p>
        </w:tc>
        <w:tc>
          <w:tcPr>
            <w:tcW w:type="dxa" w:w="2340"/>
            <w:shd w:fill="FFFFFF"/>
          </w:tcPr>
          <w:p>
            <w:pPr>
              <w:spacing w:after="0"/>
            </w:pPr>
            <w:r>
              <w:rPr>
                <w:color w:val="141E2D"/>
                <w:sz w:val="18"/>
              </w:rPr>
              <w:t>Yes</w:t>
            </w:r>
          </w:p>
        </w:tc>
        <w:tc>
          <w:tcPr>
            <w:tcW w:type="dxa" w:w="2340"/>
            <w:shd w:fill="FFFFFF"/>
          </w:tcPr>
          <w:p>
            <w:pPr>
              <w:spacing w:after="0"/>
            </w:pPr>
            <w:r>
              <w:rPr>
                <w:color w:val="141E2D"/>
                <w:sz w:val="18"/>
              </w:rPr>
              <w:t>Volume input to Sales Revenue. Also the number to cross-check against a real programme build forecast once market data exists.</w:t>
            </w:r>
          </w:p>
        </w:tc>
      </w:tr>
      <w:tr>
        <w:tc>
          <w:tcPr>
            <w:tcW w:type="dxa" w:w="2340"/>
            <w:shd w:fill="FFFFFF"/>
          </w:tcPr>
          <w:p>
            <w:pPr>
              <w:spacing w:after="0"/>
            </w:pPr>
            <w:r>
              <w:rPr>
                <w:color w:val="141E2D"/>
                <w:sz w:val="18"/>
              </w:rPr>
              <w:t>L Unit/Set</w:t>
            </w:r>
          </w:p>
        </w:tc>
        <w:tc>
          <w:tcPr>
            <w:tcW w:type="dxa" w:w="2340"/>
            <w:shd w:fill="FFFFFF"/>
          </w:tcPr>
          <w:p>
            <w:pPr>
              <w:spacing w:after="0"/>
            </w:pPr>
            <w:r>
              <w:rPr>
                <w:color w:val="141E2D"/>
                <w:sz w:val="18"/>
              </w:rPr>
              <w:t>5, 10, 15, 20</w:t>
            </w:r>
          </w:p>
        </w:tc>
        <w:tc>
          <w:tcPr>
            <w:tcW w:type="dxa" w:w="2340"/>
            <w:shd w:fill="FFFFFF"/>
          </w:tcPr>
          <w:p>
            <w:pPr>
              <w:spacing w:after="0"/>
            </w:pPr>
            <w:r>
              <w:rPr>
                <w:color w:val="141E2D"/>
                <w:sz w:val="18"/>
              </w:rPr>
              <w:t>No</w:t>
            </w:r>
          </w:p>
        </w:tc>
        <w:tc>
          <w:tcPr>
            <w:tcW w:type="dxa" w:w="2340"/>
            <w:shd w:fill="FFFFFF"/>
          </w:tcPr>
          <w:p>
            <w:pPr>
              <w:spacing w:after="0"/>
            </w:pPr>
            <w:r>
              <w:rPr>
                <w:color w:val="141E2D"/>
                <w:sz w:val="18"/>
              </w:rPr>
              <w:t>Attach rate. Set volume = EAU divided by Unit/Set. Not a revenue multiplier. Dropped entirely from the POC's sample data and needs restoring at intake.</w:t>
            </w:r>
          </w:p>
        </w:tc>
      </w:tr>
      <w:tr>
        <w:tc>
          <w:tcPr>
            <w:tcW w:type="dxa" w:w="2340"/>
            <w:shd w:fill="FFFFFF"/>
          </w:tcPr>
          <w:p>
            <w:pPr>
              <w:spacing w:after="0"/>
            </w:pPr>
            <w:r>
              <w:rPr>
                <w:color w:val="141E2D"/>
                <w:sz w:val="18"/>
              </w:rPr>
              <w:t>M Disty Cost (ASP)</w:t>
            </w:r>
          </w:p>
        </w:tc>
        <w:tc>
          <w:tcPr>
            <w:tcW w:type="dxa" w:w="2340"/>
            <w:shd w:fill="FFFFFF"/>
          </w:tcPr>
          <w:p>
            <w:pPr>
              <w:spacing w:after="0"/>
            </w:pPr>
            <w:r>
              <w:rPr>
                <w:color w:val="141E2D"/>
                <w:sz w:val="18"/>
              </w:rPr>
              <w:t>$2.00, $3.00, $4.00</w:t>
            </w:r>
          </w:p>
        </w:tc>
        <w:tc>
          <w:tcPr>
            <w:tcW w:type="dxa" w:w="2340"/>
            <w:shd w:fill="FFFFFF"/>
          </w:tcPr>
          <w:p>
            <w:pPr>
              <w:spacing w:after="0"/>
            </w:pPr>
            <w:r>
              <w:rPr>
                <w:color w:val="141E2D"/>
                <w:sz w:val="18"/>
              </w:rPr>
              <w:t>Yes</w:t>
            </w:r>
          </w:p>
        </w:tc>
        <w:tc>
          <w:tcPr>
            <w:tcW w:type="dxa" w:w="2340"/>
            <w:shd w:fill="FFFFFF"/>
          </w:tcPr>
          <w:p>
            <w:pPr>
              <w:spacing w:after="0"/>
            </w:pPr>
            <w:r>
              <w:rPr>
                <w:color w:val="141E2D"/>
                <w:sz w:val="18"/>
              </w:rPr>
              <w:t>Price input to Sales Revenue. The authoritative price for all revenue figures.</w:t>
            </w:r>
          </w:p>
        </w:tc>
      </w:tr>
      <w:tr>
        <w:tc>
          <w:tcPr>
            <w:tcW w:type="dxa" w:w="2340"/>
            <w:shd w:fill="FFFFFF"/>
          </w:tcPr>
          <w:p>
            <w:pPr>
              <w:spacing w:after="0"/>
            </w:pPr>
            <w:r>
              <w:rPr>
                <w:color w:val="141E2D"/>
                <w:sz w:val="18"/>
              </w:rPr>
              <w:t>N Resale (ASP)</w:t>
            </w:r>
          </w:p>
        </w:tc>
        <w:tc>
          <w:tcPr>
            <w:tcW w:type="dxa" w:w="2340"/>
            <w:shd w:fill="FFFFFF"/>
          </w:tcPr>
          <w:p>
            <w:pPr>
              <w:spacing w:after="0"/>
            </w:pPr>
            <w:r>
              <w:rPr>
                <w:color w:val="141E2D"/>
                <w:sz w:val="18"/>
              </w:rPr>
              <w:t>$2.10, $3.20, $4.30</w:t>
            </w:r>
          </w:p>
        </w:tc>
        <w:tc>
          <w:tcPr>
            <w:tcW w:type="dxa" w:w="2340"/>
            <w:shd w:fill="FFFFFF"/>
          </w:tcPr>
          <w:p>
            <w:pPr>
              <w:spacing w:after="0"/>
            </w:pPr>
            <w:r>
              <w:rPr>
                <w:color w:val="141E2D"/>
                <w:sz w:val="18"/>
              </w:rPr>
              <w:t>No</w:t>
            </w:r>
          </w:p>
        </w:tc>
        <w:tc>
          <w:tcPr>
            <w:tcW w:type="dxa" w:w="2340"/>
            <w:shd w:fill="FFFFFF"/>
          </w:tcPr>
          <w:p>
            <w:pPr>
              <w:spacing w:after="0"/>
            </w:pPr>
            <w:r>
              <w:rPr>
                <w:color w:val="141E2D"/>
                <w:sz w:val="18"/>
              </w:rPr>
              <w:t>Reaches no formula today. Channel margin, Resale minus Disty, is free analysis sitting in data already collected.</w:t>
            </w:r>
          </w:p>
        </w:tc>
      </w:tr>
      <w:tr>
        <w:tc>
          <w:tcPr>
            <w:tcW w:type="dxa" w:w="2340"/>
            <w:shd w:fill="FFFFFF"/>
          </w:tcPr>
          <w:p>
            <w:pPr>
              <w:spacing w:after="0"/>
            </w:pPr>
            <w:r>
              <w:rPr>
                <w:color w:val="141E2D"/>
                <w:sz w:val="18"/>
              </w:rPr>
              <w:t>O Sales Revenue</w:t>
            </w:r>
          </w:p>
        </w:tc>
        <w:tc>
          <w:tcPr>
            <w:tcW w:type="dxa" w:w="2340"/>
            <w:shd w:fill="FFFFFF"/>
          </w:tcPr>
          <w:p>
            <w:pPr>
              <w:spacing w:after="0"/>
            </w:pPr>
            <w:r>
              <w:rPr>
                <w:color w:val="141E2D"/>
                <w:sz w:val="18"/>
              </w:rPr>
              <w:t>=K*M</w:t>
            </w:r>
          </w:p>
        </w:tc>
        <w:tc>
          <w:tcPr>
            <w:tcW w:type="dxa" w:w="2340"/>
            <w:shd w:fill="FFFFFF"/>
          </w:tcPr>
          <w:p>
            <w:pPr>
              <w:spacing w:after="0"/>
            </w:pPr>
            <w:r>
              <w:rPr>
                <w:color w:val="141E2D"/>
                <w:sz w:val="18"/>
              </w:rPr>
              <w:t>Computed</w:t>
            </w:r>
          </w:p>
        </w:tc>
        <w:tc>
          <w:tcPr>
            <w:tcW w:type="dxa" w:w="2340"/>
            <w:shd w:fill="FFFFFF"/>
          </w:tcPr>
          <w:p>
            <w:pPr>
              <w:spacing w:after="0"/>
            </w:pPr>
            <w:r>
              <w:rPr>
                <w:color w:val="141E2D"/>
                <w:sz w:val="18"/>
              </w:rPr>
              <w:t>Deterministic output. The agent never writes it and never asks the model for it.</w:t>
            </w:r>
          </w:p>
        </w:tc>
      </w:tr>
      <w:tr>
        <w:tc>
          <w:tcPr>
            <w:tcW w:type="dxa" w:w="2340"/>
            <w:shd w:fill="FFFFFF"/>
          </w:tcPr>
          <w:p>
            <w:pPr>
              <w:spacing w:after="0"/>
            </w:pPr>
            <w:r>
              <w:rPr>
                <w:color w:val="141E2D"/>
                <w:sz w:val="18"/>
              </w:rPr>
              <w:t>P Competitor Part#</w:t>
            </w:r>
          </w:p>
        </w:tc>
        <w:tc>
          <w:tcPr>
            <w:tcW w:type="dxa" w:w="2340"/>
            <w:shd w:fill="FFFFFF"/>
          </w:tcPr>
          <w:p>
            <w:pPr>
              <w:spacing w:after="0"/>
            </w:pPr>
            <w:r>
              <w:rPr>
                <w:color w:val="141E2D"/>
                <w:sz w:val="18"/>
              </w:rPr>
              <w:t>Empty on every row</w:t>
            </w:r>
          </w:p>
        </w:tc>
        <w:tc>
          <w:tcPr>
            <w:tcW w:type="dxa" w:w="2340"/>
            <w:shd w:fill="FFFFFF"/>
          </w:tcPr>
          <w:p>
            <w:pPr>
              <w:spacing w:after="0"/>
            </w:pPr>
            <w:r>
              <w:rPr>
                <w:color w:val="141E2D"/>
                <w:sz w:val="18"/>
              </w:rPr>
              <w:t>No</w:t>
            </w:r>
          </w:p>
        </w:tc>
        <w:tc>
          <w:tcPr>
            <w:tcW w:type="dxa" w:w="2340"/>
            <w:shd w:fill="FFFFFF"/>
          </w:tcPr>
          <w:p>
            <w:pPr>
              <w:spacing w:after="0"/>
            </w:pPr>
            <w:r>
              <w:rPr>
                <w:color w:val="141E2D"/>
                <w:sz w:val="18"/>
              </w:rPr>
              <w:t>Risk signal for the named-competitor rule. Blank here, populated on Funnel, which is why that rule can never fire on this tab.</w:t>
            </w:r>
          </w:p>
        </w:tc>
      </w:tr>
      <w:tr>
        <w:tc>
          <w:tcPr>
            <w:tcW w:type="dxa" w:w="2340"/>
            <w:shd w:fill="FFFFFF"/>
          </w:tcPr>
          <w:p>
            <w:pPr>
              <w:spacing w:after="0"/>
            </w:pPr>
            <w:r>
              <w:rPr>
                <w:color w:val="141E2D"/>
                <w:sz w:val="18"/>
              </w:rPr>
              <w:t>Q Confidence Level</w:t>
            </w:r>
          </w:p>
        </w:tc>
        <w:tc>
          <w:tcPr>
            <w:tcW w:type="dxa" w:w="2340"/>
            <w:shd w:fill="FFFFFF"/>
          </w:tcPr>
          <w:p>
            <w:pPr>
              <w:spacing w:after="0"/>
            </w:pPr>
            <w:r>
              <w:rPr>
                <w:color w:val="141E2D"/>
                <w:sz w:val="18"/>
              </w:rPr>
              <w:t>0.00, 0.10, 0.30, 0.50, 0.80, 1.00</w:t>
            </w:r>
          </w:p>
        </w:tc>
        <w:tc>
          <w:tcPr>
            <w:tcW w:type="dxa" w:w="2340"/>
            <w:shd w:fill="FFFFFF"/>
          </w:tcPr>
          <w:p>
            <w:pPr>
              <w:spacing w:after="0"/>
            </w:pPr>
            <w:r>
              <w:rPr>
                <w:color w:val="141E2D"/>
                <w:sz w:val="18"/>
              </w:rPr>
              <w:t>Yes</w:t>
            </w:r>
          </w:p>
        </w:tc>
        <w:tc>
          <w:tcPr>
            <w:tcW w:type="dxa" w:w="2340"/>
            <w:shd w:fill="FFFFFF"/>
          </w:tcPr>
          <w:p>
            <w:pPr>
              <w:spacing w:after="0"/>
            </w:pPr>
            <w:r>
              <w:rPr>
                <w:color w:val="141E2D"/>
                <w:sz w:val="18"/>
              </w:rPr>
              <w:t>The only field the agent writes. Baseline comes from Stage, then qualitative factors move it, with every move cited and logged.</w:t>
            </w:r>
          </w:p>
        </w:tc>
      </w:tr>
      <w:tr>
        <w:tc>
          <w:tcPr>
            <w:tcW w:type="dxa" w:w="2340"/>
            <w:shd w:fill="FFFFFF"/>
          </w:tcPr>
          <w:p>
            <w:pPr>
              <w:spacing w:after="0"/>
            </w:pPr>
            <w:r>
              <w:rPr>
                <w:color w:val="141E2D"/>
                <w:sz w:val="18"/>
              </w:rPr>
              <w:t>R Adjusted Revenue</w:t>
            </w:r>
          </w:p>
        </w:tc>
        <w:tc>
          <w:tcPr>
            <w:tcW w:type="dxa" w:w="2340"/>
            <w:shd w:fill="FFFFFF"/>
          </w:tcPr>
          <w:p>
            <w:pPr>
              <w:spacing w:after="0"/>
            </w:pPr>
            <w:r>
              <w:rPr>
                <w:color w:val="141E2D"/>
                <w:sz w:val="18"/>
              </w:rPr>
              <w:t>=O*Q</w:t>
            </w:r>
          </w:p>
        </w:tc>
        <w:tc>
          <w:tcPr>
            <w:tcW w:type="dxa" w:w="2340"/>
            <w:shd w:fill="FFFFFF"/>
          </w:tcPr>
          <w:p>
            <w:pPr>
              <w:spacing w:after="0"/>
            </w:pPr>
            <w:r>
              <w:rPr>
                <w:color w:val="141E2D"/>
                <w:sz w:val="18"/>
              </w:rPr>
              <w:t>Computed</w:t>
            </w:r>
          </w:p>
        </w:tc>
        <w:tc>
          <w:tcPr>
            <w:tcW w:type="dxa" w:w="2340"/>
            <w:shd w:fill="FFFFFF"/>
          </w:tcPr>
          <w:p>
            <w:pPr>
              <w:spacing w:after="0"/>
            </w:pPr>
            <w:r>
              <w:rPr>
                <w:color w:val="141E2D"/>
                <w:sz w:val="18"/>
              </w:rPr>
              <w:t>Deterministic output, and the number that feeds the finance forecast and the ROI cross-check.</w:t>
            </w:r>
          </w:p>
        </w:tc>
      </w:tr>
      <w:tr>
        <w:tc>
          <w:tcPr>
            <w:tcW w:type="dxa" w:w="2340"/>
            <w:shd w:fill="FFFFFF"/>
          </w:tcPr>
          <w:p>
            <w:pPr>
              <w:spacing w:after="0"/>
            </w:pPr>
            <w:r>
              <w:rPr>
                <w:color w:val="141E2D"/>
                <w:sz w:val="18"/>
              </w:rPr>
              <w:t>S Comments</w:t>
            </w:r>
          </w:p>
        </w:tc>
        <w:tc>
          <w:tcPr>
            <w:tcW w:type="dxa" w:w="2340"/>
            <w:shd w:fill="FFFFFF"/>
          </w:tcPr>
          <w:p>
            <w:pPr>
              <w:spacing w:after="0"/>
            </w:pPr>
            <w:r>
              <w:rPr>
                <w:color w:val="141E2D"/>
                <w:sz w:val="18"/>
              </w:rPr>
              <w:t>Free text</w:t>
            </w:r>
          </w:p>
        </w:tc>
        <w:tc>
          <w:tcPr>
            <w:tcW w:type="dxa" w:w="2340"/>
            <w:shd w:fill="FFFFFF"/>
          </w:tcPr>
          <w:p>
            <w:pPr>
              <w:spacing w:after="0"/>
            </w:pPr>
            <w:r>
              <w:rPr>
                <w:color w:val="141E2D"/>
                <w:sz w:val="18"/>
              </w:rPr>
              <w:t>No</w:t>
            </w:r>
          </w:p>
        </w:tc>
        <w:tc>
          <w:tcPr>
            <w:tcW w:type="dxa" w:w="2340"/>
            <w:shd w:fill="FFFFFF"/>
          </w:tcPr>
          <w:p>
            <w:pPr>
              <w:spacing w:after="0"/>
            </w:pPr>
            <w:r>
              <w:rPr>
                <w:color w:val="141E2D"/>
                <w:sz w:val="18"/>
              </w:rPr>
              <w:t>Evidence for the judgment layer. Read, quoted in a rationale, never parsed as a field.</w:t>
            </w:r>
          </w:p>
        </w:tc>
      </w:tr>
    </w:tbl>
    <w:p/>
    <w:p>
      <w:r>
        <w:rPr>
          <w:i w:val="0"/>
          <w:color w:val="141E2D"/>
          <w:sz w:val="21"/>
        </w:rPr>
        <w:t>Rows 14 to 18 hold a Region, a Design Status, an M/P date, an EAU and a Unit/Set, and nothing else. No customer, no project name, no ASP, no confidence. Three of them are logged as Design Win, including two in Japan, so the file currently contains design wins worth zero. The intake must reject or quarantine these rather than average them into a regional total.</w:t>
      </w:r>
    </w:p>
    <w:p>
      <w:pPr>
        <w:pStyle w:val="Heading1"/>
      </w:pPr>
      <w:r>
        <w:t>3. Funnel</w:t>
      </w:r>
    </w:p>
    <w:p>
      <w:r>
        <w:rPr>
          <w:i w:val="0"/>
          <w:color w:val="141E2D"/>
          <w:sz w:val="21"/>
        </w:rPr>
        <w:t>Eight rows of Korean lighting and power business, all MOBIS into Hyundai/Kia. Same identity columns as ProjectTrack, but no Stage, no Confidence and no revenue formula, so the agent can read and validate these rows without being able to weight them.</w:t>
      </w:r>
    </w:p>
    <w:tbl>
      <w:tblPr>
        <w:tblW w:type="auto" w:w="0"/>
        <w:jc w:val="center"/>
        <w:tblLayout w:type="fixed"/>
        <w:tblLook w:firstColumn="1" w:firstRow="1" w:lastColumn="0" w:lastRow="0" w:noHBand="0" w:noVBand="1" w:val="04A0"/>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2340"/>
        <w:gridCol w:w="2340"/>
        <w:gridCol w:w="2340"/>
        <w:gridCol w:w="2340"/>
      </w:tblGrid>
      <w:tr>
        <w:tc>
          <w:tcPr>
            <w:tcW w:type="dxa" w:w="1800"/>
            <w:vAlign w:val="center"/>
            <w:tcMar>
              <w:top w:w="80" w:type="dxa"/>
              <w:start w:w="120" w:type="dxa"/>
              <w:bottom w:w="80" w:type="dxa"/>
              <w:end w:w="120" w:type="dxa"/>
            </w:tcMar>
            <w:shd w:fill="E8EEF5"/>
          </w:tcPr>
          <w:p>
            <w:pPr>
              <w:spacing w:after="0"/>
            </w:pPr>
            <w:r>
              <w:rPr>
                <w:b/>
                <w:color w:val="141E2D"/>
                <w:sz w:val="19"/>
              </w:rPr>
              <w:t>Column</w:t>
            </w:r>
          </w:p>
        </w:tc>
        <w:tc>
          <w:tcPr>
            <w:tcW w:type="dxa" w:w="1512"/>
            <w:vAlign w:val="center"/>
            <w:tcMar>
              <w:top w:w="80" w:type="dxa"/>
              <w:start w:w="120" w:type="dxa"/>
              <w:bottom w:w="80" w:type="dxa"/>
              <w:end w:w="120" w:type="dxa"/>
            </w:tcMar>
            <w:shd w:fill="E8EEF5"/>
          </w:tcPr>
          <w:p>
            <w:pPr>
              <w:spacing w:after="0"/>
            </w:pPr>
            <w:r>
              <w:rPr>
                <w:b/>
                <w:color w:val="141E2D"/>
                <w:sz w:val="19"/>
              </w:rPr>
              <w:t>Example</w:t>
            </w:r>
          </w:p>
        </w:tc>
        <w:tc>
          <w:tcPr>
            <w:tcW w:type="dxa" w:w="1944"/>
            <w:vAlign w:val="center"/>
            <w:tcMar>
              <w:top w:w="80" w:type="dxa"/>
              <w:start w:w="120" w:type="dxa"/>
              <w:bottom w:w="80" w:type="dxa"/>
              <w:end w:w="120" w:type="dxa"/>
            </w:tcMar>
            <w:shd w:fill="E8EEF5"/>
          </w:tcPr>
          <w:p>
            <w:pPr>
              <w:spacing w:after="0"/>
            </w:pPr>
            <w:r>
              <w:rPr>
                <w:b/>
                <w:color w:val="141E2D"/>
                <w:sz w:val="19"/>
              </w:rPr>
              <w:t>Calculation use</w:t>
            </w:r>
          </w:p>
        </w:tc>
        <w:tc>
          <w:tcPr>
            <w:tcW w:type="dxa" w:w="4104"/>
            <w:vAlign w:val="center"/>
            <w:tcMar>
              <w:top w:w="80" w:type="dxa"/>
              <w:start w:w="120" w:type="dxa"/>
              <w:bottom w:w="80" w:type="dxa"/>
              <w:end w:w="120" w:type="dxa"/>
            </w:tcMar>
            <w:shd w:fill="E8EEF5"/>
          </w:tcPr>
          <w:p>
            <w:pPr>
              <w:spacing w:after="0"/>
            </w:pPr>
            <w:r>
              <w:rPr>
                <w:b/>
                <w:color w:val="141E2D"/>
                <w:sz w:val="19"/>
              </w:rPr>
              <w:t>How the agent uses it</w:t>
            </w:r>
          </w:p>
        </w:tc>
      </w:tr>
      <w:tr>
        <w:tc>
          <w:tcPr>
            <w:tcW w:type="dxa" w:w="2340"/>
            <w:shd w:fill="FFFFFF"/>
          </w:tcPr>
          <w:p>
            <w:pPr>
              <w:spacing w:after="0"/>
            </w:pPr>
            <w:r>
              <w:rPr>
                <w:color w:val="141E2D"/>
                <w:sz w:val="18"/>
              </w:rPr>
              <w:t>A to G identity</w:t>
            </w:r>
          </w:p>
        </w:tc>
        <w:tc>
          <w:tcPr>
            <w:tcW w:type="dxa" w:w="2340"/>
            <w:shd w:fill="FFFFFF"/>
          </w:tcPr>
          <w:p>
            <w:pPr>
              <w:spacing w:after="0"/>
            </w:pPr>
            <w:r>
              <w:rPr>
                <w:color w:val="141E2D"/>
                <w:sz w:val="18"/>
              </w:rPr>
              <w:t>KR, MOBIS, Hyundai/Kia, Tail Lamp, Rear Lamp, Lighting, ID801</w:t>
            </w:r>
          </w:p>
        </w:tc>
        <w:tc>
          <w:tcPr>
            <w:tcW w:type="dxa" w:w="2340"/>
            <w:shd w:fill="FFFFFF"/>
          </w:tcPr>
          <w:p>
            <w:pPr>
              <w:spacing w:after="0"/>
            </w:pPr>
            <w:r>
              <w:rPr>
                <w:color w:val="141E2D"/>
                <w:sz w:val="18"/>
              </w:rPr>
              <w:t>No</w:t>
            </w:r>
          </w:p>
        </w:tc>
        <w:tc>
          <w:tcPr>
            <w:tcW w:type="dxa" w:w="2340"/>
            <w:shd w:fill="FFFFFF"/>
          </w:tcPr>
          <w:p>
            <w:pPr>
              <w:spacing w:after="0"/>
            </w:pPr>
            <w:r>
              <w:rPr>
                <w:color w:val="141E2D"/>
                <w:sz w:val="18"/>
              </w:rPr>
              <w:t>Same dimensions as ProjectTrack. Region needs the KR to Korea mapping before any roll-up.</w:t>
            </w:r>
          </w:p>
        </w:tc>
      </w:tr>
      <w:tr>
        <w:tc>
          <w:tcPr>
            <w:tcW w:type="dxa" w:w="2340"/>
            <w:shd w:fill="FFFFFF"/>
          </w:tcPr>
          <w:p>
            <w:pPr>
              <w:spacing w:after="0"/>
            </w:pPr>
            <w:r>
              <w:rPr>
                <w:color w:val="141E2D"/>
                <w:sz w:val="18"/>
              </w:rPr>
              <w:t>H Design Status</w:t>
            </w:r>
          </w:p>
        </w:tc>
        <w:tc>
          <w:tcPr>
            <w:tcW w:type="dxa" w:w="2340"/>
            <w:shd w:fill="FFFFFF"/>
          </w:tcPr>
          <w:p>
            <w:pPr>
              <w:spacing w:after="0"/>
            </w:pPr>
            <w:r>
              <w:rPr>
                <w:color w:val="141E2D"/>
                <w:sz w:val="18"/>
              </w:rPr>
              <w:t>M/P, D-IN, Sample, TBD</w:t>
            </w:r>
          </w:p>
        </w:tc>
        <w:tc>
          <w:tcPr>
            <w:tcW w:type="dxa" w:w="2340"/>
            <w:shd w:fill="FFFFFF"/>
          </w:tcPr>
          <w:p>
            <w:pPr>
              <w:spacing w:after="0"/>
            </w:pPr>
            <w:r>
              <w:rPr>
                <w:color w:val="141E2D"/>
                <w:sz w:val="18"/>
              </w:rPr>
              <w:t>No</w:t>
            </w:r>
          </w:p>
        </w:tc>
        <w:tc>
          <w:tcPr>
            <w:tcW w:type="dxa" w:w="2340"/>
            <w:shd w:fill="FFFFFF"/>
          </w:tcPr>
          <w:p>
            <w:pPr>
              <w:spacing w:after="0"/>
            </w:pPr>
            <w:r>
              <w:rPr>
                <w:color w:val="141E2D"/>
                <w:sz w:val="18"/>
              </w:rPr>
              <w:t>Abbreviated vocabulary specific to this tab. Needs a canon map: M/P to Mass Production, D-IN to Design In.</w:t>
            </w:r>
          </w:p>
        </w:tc>
      </w:tr>
      <w:tr>
        <w:tc>
          <w:tcPr>
            <w:tcW w:type="dxa" w:w="2340"/>
            <w:shd w:fill="FFFFFF"/>
          </w:tcPr>
          <w:p>
            <w:pPr>
              <w:spacing w:after="0"/>
            </w:pPr>
            <w:r>
              <w:rPr>
                <w:color w:val="141E2D"/>
                <w:sz w:val="18"/>
              </w:rPr>
              <w:t>I M/P</w:t>
            </w:r>
          </w:p>
        </w:tc>
        <w:tc>
          <w:tcPr>
            <w:tcW w:type="dxa" w:w="2340"/>
            <w:shd w:fill="FFFFFF"/>
          </w:tcPr>
          <w:p>
            <w:pPr>
              <w:spacing w:after="0"/>
            </w:pPr>
            <w:r>
              <w:rPr>
                <w:color w:val="141E2D"/>
                <w:sz w:val="18"/>
              </w:rPr>
              <w:t>Dec'24, Nov'26, Sep'27</w:t>
            </w:r>
          </w:p>
        </w:tc>
        <w:tc>
          <w:tcPr>
            <w:tcW w:type="dxa" w:w="2340"/>
            <w:shd w:fill="FFFFFF"/>
          </w:tcPr>
          <w:p>
            <w:pPr>
              <w:spacing w:after="0"/>
            </w:pPr>
            <w:r>
              <w:rPr>
                <w:color w:val="141E2D"/>
                <w:sz w:val="18"/>
              </w:rPr>
              <w:t>No</w:t>
            </w:r>
          </w:p>
        </w:tc>
        <w:tc>
          <w:tcPr>
            <w:tcW w:type="dxa" w:w="2340"/>
            <w:shd w:fill="FFFFFF"/>
          </w:tcPr>
          <w:p>
            <w:pPr>
              <w:spacing w:after="0"/>
            </w:pPr>
            <w:r>
              <w:rPr>
                <w:color w:val="141E2D"/>
                <w:sz w:val="18"/>
              </w:rPr>
              <w:t>Production date. On row 11 it reads TBD, in a field the agent expects to be a date.</w:t>
            </w:r>
          </w:p>
        </w:tc>
      </w:tr>
      <w:tr>
        <w:tc>
          <w:tcPr>
            <w:tcW w:type="dxa" w:w="2340"/>
            <w:shd w:fill="FFFFFF"/>
          </w:tcPr>
          <w:p>
            <w:pPr>
              <w:spacing w:after="0"/>
            </w:pPr>
            <w:r>
              <w:rPr>
                <w:color w:val="141E2D"/>
                <w:sz w:val="18"/>
              </w:rPr>
              <w:t>J EAU [Kpcs]</w:t>
            </w:r>
          </w:p>
        </w:tc>
        <w:tc>
          <w:tcPr>
            <w:tcW w:type="dxa" w:w="2340"/>
            <w:shd w:fill="FFFFFF"/>
          </w:tcPr>
          <w:p>
            <w:pPr>
              <w:spacing w:after="0"/>
            </w:pPr>
            <w:r>
              <w:rPr>
                <w:color w:val="141E2D"/>
                <w:sz w:val="18"/>
              </w:rPr>
              <w:t>57175, 130790, 294009</w:t>
            </w:r>
          </w:p>
        </w:tc>
        <w:tc>
          <w:tcPr>
            <w:tcW w:type="dxa" w:w="2340"/>
            <w:shd w:fill="FFFFFF"/>
          </w:tcPr>
          <w:p>
            <w:pPr>
              <w:spacing w:after="0"/>
            </w:pPr>
            <w:r>
              <w:rPr>
                <w:color w:val="141E2D"/>
                <w:sz w:val="18"/>
              </w:rPr>
              <w:t>Yes, in principle</w:t>
            </w:r>
          </w:p>
        </w:tc>
        <w:tc>
          <w:tcPr>
            <w:tcW w:type="dxa" w:w="2340"/>
            <w:shd w:fill="FFFFFF"/>
          </w:tcPr>
          <w:p>
            <w:pPr>
              <w:spacing w:after="0"/>
            </w:pPr>
            <w:r>
              <w:rPr>
                <w:color w:val="141E2D"/>
                <w:sz w:val="18"/>
              </w:rPr>
              <w:t>Two orders of magnitude larger than ProjectTrack volumes and inconsistent with the same part on FCST_Revenue. The basis of this number needs confirming before it is used.</w:t>
            </w:r>
          </w:p>
        </w:tc>
      </w:tr>
      <w:tr>
        <w:tc>
          <w:tcPr>
            <w:tcW w:type="dxa" w:w="2340"/>
            <w:shd w:fill="FFFFFF"/>
          </w:tcPr>
          <w:p>
            <w:pPr>
              <w:spacing w:after="0"/>
            </w:pPr>
            <w:r>
              <w:rPr>
                <w:color w:val="141E2D"/>
                <w:sz w:val="18"/>
              </w:rPr>
              <w:t>K Unit/Set</w:t>
            </w:r>
          </w:p>
        </w:tc>
        <w:tc>
          <w:tcPr>
            <w:tcW w:type="dxa" w:w="2340"/>
            <w:shd w:fill="FFFFFF"/>
          </w:tcPr>
          <w:p>
            <w:pPr>
              <w:spacing w:after="0"/>
            </w:pPr>
            <w:r>
              <w:rPr>
                <w:color w:val="141E2D"/>
                <w:sz w:val="18"/>
              </w:rPr>
              <w:t>20, 4, 8, 16, 2</w:t>
            </w:r>
          </w:p>
        </w:tc>
        <w:tc>
          <w:tcPr>
            <w:tcW w:type="dxa" w:w="2340"/>
            <w:shd w:fill="FFFFFF"/>
          </w:tcPr>
          <w:p>
            <w:pPr>
              <w:spacing w:after="0"/>
            </w:pPr>
            <w:r>
              <w:rPr>
                <w:color w:val="141E2D"/>
                <w:sz w:val="18"/>
              </w:rPr>
              <w:t>No</w:t>
            </w:r>
          </w:p>
        </w:tc>
        <w:tc>
          <w:tcPr>
            <w:tcW w:type="dxa" w:w="2340"/>
            <w:shd w:fill="FFFFFF"/>
          </w:tcPr>
          <w:p>
            <w:pPr>
              <w:spacing w:after="0"/>
            </w:pPr>
            <w:r>
              <w:rPr>
                <w:color w:val="141E2D"/>
                <w:sz w:val="18"/>
              </w:rPr>
              <w:t>Attach rate. IP901 at 130,790 Kpcs and 4 per set implies 32.7M vehicle sets a year, which cannot be right. This is the row that fails validation first.</w:t>
            </w:r>
          </w:p>
        </w:tc>
      </w:tr>
      <w:tr>
        <w:tc>
          <w:tcPr>
            <w:tcW w:type="dxa" w:w="2340"/>
            <w:shd w:fill="FFFFFF"/>
          </w:tcPr>
          <w:p>
            <w:pPr>
              <w:spacing w:after="0"/>
            </w:pPr>
            <w:r>
              <w:rPr>
                <w:color w:val="141E2D"/>
                <w:sz w:val="18"/>
              </w:rPr>
              <w:t>L Disty Cost (ASP)</w:t>
            </w:r>
          </w:p>
        </w:tc>
        <w:tc>
          <w:tcPr>
            <w:tcW w:type="dxa" w:w="2340"/>
            <w:shd w:fill="FFFFFF"/>
          </w:tcPr>
          <w:p>
            <w:pPr>
              <w:spacing w:after="0"/>
            </w:pPr>
            <w:r>
              <w:rPr>
                <w:color w:val="141E2D"/>
                <w:sz w:val="18"/>
              </w:rPr>
              <w:t>0.4615, or =M*0.975</w:t>
            </w:r>
          </w:p>
        </w:tc>
        <w:tc>
          <w:tcPr>
            <w:tcW w:type="dxa" w:w="2340"/>
            <w:shd w:fill="FFFFFF"/>
          </w:tcPr>
          <w:p>
            <w:pPr>
              <w:spacing w:after="0"/>
            </w:pPr>
            <w:r>
              <w:rPr>
                <w:color w:val="141E2D"/>
                <w:sz w:val="18"/>
              </w:rPr>
              <w:t>Yes</w:t>
            </w:r>
          </w:p>
        </w:tc>
        <w:tc>
          <w:tcPr>
            <w:tcW w:type="dxa" w:w="2340"/>
            <w:shd w:fill="FFFFFF"/>
          </w:tcPr>
          <w:p>
            <w:pPr>
              <w:spacing w:after="0"/>
            </w:pPr>
            <w:r>
              <w:rPr>
                <w:color w:val="141E2D"/>
                <w:sz w:val="18"/>
              </w:rPr>
              <w:t>Some rows carry a number and some derive it as Resale times 0.975. The 2.5 percent channel margin looks like a rule worth confirming and applying consistently.</w:t>
            </w:r>
          </w:p>
        </w:tc>
      </w:tr>
      <w:tr>
        <w:tc>
          <w:tcPr>
            <w:tcW w:type="dxa" w:w="2340"/>
            <w:shd w:fill="FFFFFF"/>
          </w:tcPr>
          <w:p>
            <w:pPr>
              <w:spacing w:after="0"/>
            </w:pPr>
            <w:r>
              <w:rPr>
                <w:color w:val="141E2D"/>
                <w:sz w:val="18"/>
              </w:rPr>
              <w:t>M Resale (ASP)</w:t>
            </w:r>
          </w:p>
        </w:tc>
        <w:tc>
          <w:tcPr>
            <w:tcW w:type="dxa" w:w="2340"/>
            <w:shd w:fill="FFFFFF"/>
          </w:tcPr>
          <w:p>
            <w:pPr>
              <w:spacing w:after="0"/>
            </w:pPr>
            <w:r>
              <w:rPr>
                <w:color w:val="141E2D"/>
                <w:sz w:val="18"/>
              </w:rPr>
              <w:t>0.4733, 0.49, 0.9</w:t>
            </w:r>
          </w:p>
        </w:tc>
        <w:tc>
          <w:tcPr>
            <w:tcW w:type="dxa" w:w="2340"/>
            <w:shd w:fill="FFFFFF"/>
          </w:tcPr>
          <w:p>
            <w:pPr>
              <w:spacing w:after="0"/>
            </w:pPr>
            <w:r>
              <w:rPr>
                <w:color w:val="141E2D"/>
                <w:sz w:val="18"/>
              </w:rPr>
              <w:t>No</w:t>
            </w:r>
          </w:p>
        </w:tc>
        <w:tc>
          <w:tcPr>
            <w:tcW w:type="dxa" w:w="2340"/>
            <w:shd w:fill="FFFFFF"/>
          </w:tcPr>
          <w:p>
            <w:pPr>
              <w:spacing w:after="0"/>
            </w:pPr>
            <w:r>
              <w:rPr>
                <w:color w:val="141E2D"/>
                <w:sz w:val="18"/>
              </w:rPr>
              <w:t>Unused, same as ProjectTrack.</w:t>
            </w:r>
          </w:p>
        </w:tc>
      </w:tr>
      <w:tr>
        <w:tc>
          <w:tcPr>
            <w:tcW w:type="dxa" w:w="2340"/>
            <w:shd w:fill="FFFFFF"/>
          </w:tcPr>
          <w:p>
            <w:pPr>
              <w:spacing w:after="0"/>
            </w:pPr>
            <w:r>
              <w:rPr>
                <w:color w:val="141E2D"/>
                <w:sz w:val="18"/>
              </w:rPr>
              <w:t>N FCST</w:t>
            </w:r>
          </w:p>
        </w:tc>
        <w:tc>
          <w:tcPr>
            <w:tcW w:type="dxa" w:w="2340"/>
            <w:shd w:fill="FFFFFF"/>
          </w:tcPr>
          <w:p>
            <w:pPr>
              <w:spacing w:after="0"/>
            </w:pPr>
            <w:r>
              <w:rPr>
                <w:color w:val="141E2D"/>
                <w:sz w:val="18"/>
              </w:rPr>
              <w:t>1, 2</w:t>
            </w:r>
          </w:p>
        </w:tc>
        <w:tc>
          <w:tcPr>
            <w:tcW w:type="dxa" w:w="2340"/>
            <w:shd w:fill="FFFFFF"/>
          </w:tcPr>
          <w:p>
            <w:pPr>
              <w:spacing w:after="0"/>
            </w:pPr>
            <w:r>
              <w:rPr>
                <w:color w:val="141E2D"/>
                <w:sz w:val="18"/>
              </w:rPr>
              <w:t>No</w:t>
            </w:r>
          </w:p>
        </w:tc>
        <w:tc>
          <w:tcPr>
            <w:tcW w:type="dxa" w:w="2340"/>
            <w:shd w:fill="FFFFFF"/>
          </w:tcPr>
          <w:p>
            <w:pPr>
              <w:spacing w:after="0"/>
            </w:pPr>
            <w:r>
              <w:rPr>
                <w:color w:val="141E2D"/>
                <w:sz w:val="18"/>
              </w:rPr>
              <w:t>Undocumented. Appears nowhere else, is not referenced by any formula, and its meaning has never been asked. Add to the question list.</w:t>
            </w:r>
          </w:p>
        </w:tc>
      </w:tr>
      <w:tr>
        <w:tc>
          <w:tcPr>
            <w:tcW w:type="dxa" w:w="2340"/>
            <w:shd w:fill="FFFFFF"/>
          </w:tcPr>
          <w:p>
            <w:pPr>
              <w:spacing w:after="0"/>
            </w:pPr>
            <w:r>
              <w:rPr>
                <w:color w:val="141E2D"/>
                <w:sz w:val="18"/>
              </w:rPr>
              <w:t>O Competitor Part#</w:t>
            </w:r>
          </w:p>
        </w:tc>
        <w:tc>
          <w:tcPr>
            <w:tcW w:type="dxa" w:w="2340"/>
            <w:shd w:fill="FFFFFF"/>
          </w:tcPr>
          <w:p>
            <w:pPr>
              <w:spacing w:after="0"/>
            </w:pPr>
            <w:r>
              <w:rPr>
                <w:color w:val="141E2D"/>
                <w:sz w:val="18"/>
              </w:rPr>
              <w:t>BD83740 and NSL21610, TPS92682, TBD</w:t>
            </w:r>
          </w:p>
        </w:tc>
        <w:tc>
          <w:tcPr>
            <w:tcW w:type="dxa" w:w="2340"/>
            <w:shd w:fill="FFFFFF"/>
          </w:tcPr>
          <w:p>
            <w:pPr>
              <w:spacing w:after="0"/>
            </w:pPr>
            <w:r>
              <w:rPr>
                <w:color w:val="141E2D"/>
                <w:sz w:val="18"/>
              </w:rPr>
              <w:t>No</w:t>
            </w:r>
          </w:p>
        </w:tc>
        <w:tc>
          <w:tcPr>
            <w:tcW w:type="dxa" w:w="2340"/>
            <w:shd w:fill="FFFFFF"/>
          </w:tcPr>
          <w:p>
            <w:pPr>
              <w:spacing w:after="0"/>
            </w:pPr>
            <w:r>
              <w:rPr>
                <w:color w:val="141E2D"/>
                <w:sz w:val="18"/>
              </w:rPr>
              <w:t>Populated here and nowhere else. Real competitor intelligence, on the one tab that has no confidence number to apply it to. One cell holds two parts separated by a line break, so it parses as a list.</w:t>
            </w:r>
          </w:p>
        </w:tc>
      </w:tr>
      <w:tr>
        <w:tc>
          <w:tcPr>
            <w:tcW w:type="dxa" w:w="2340"/>
            <w:shd w:fill="FFFFFF"/>
          </w:tcPr>
          <w:p>
            <w:pPr>
              <w:spacing w:after="0"/>
            </w:pPr>
            <w:r>
              <w:rPr>
                <w:color w:val="141E2D"/>
                <w:sz w:val="18"/>
              </w:rPr>
              <w:t>P Pjt. Status/Note</w:t>
            </w:r>
          </w:p>
        </w:tc>
        <w:tc>
          <w:tcPr>
            <w:tcW w:type="dxa" w:w="2340"/>
            <w:shd w:fill="FFFFFF"/>
          </w:tcPr>
          <w:p>
            <w:pPr>
              <w:spacing w:after="0"/>
            </w:pPr>
            <w:r>
              <w:rPr>
                <w:color w:val="141E2D"/>
                <w:sz w:val="18"/>
              </w:rPr>
              <w:t>DWIN for TK1, DIN for NX5 (Tucson)</w:t>
            </w:r>
          </w:p>
        </w:tc>
        <w:tc>
          <w:tcPr>
            <w:tcW w:type="dxa" w:w="2340"/>
            <w:shd w:fill="FFFFFF"/>
          </w:tcPr>
          <w:p>
            <w:pPr>
              <w:spacing w:after="0"/>
            </w:pPr>
            <w:r>
              <w:rPr>
                <w:color w:val="141E2D"/>
                <w:sz w:val="18"/>
              </w:rPr>
              <w:t>No</w:t>
            </w:r>
          </w:p>
        </w:tc>
        <w:tc>
          <w:tcPr>
            <w:tcW w:type="dxa" w:w="2340"/>
            <w:shd w:fill="FFFFFF"/>
          </w:tcPr>
          <w:p>
            <w:pPr>
              <w:spacing w:after="0"/>
            </w:pPr>
            <w:r>
              <w:rPr>
                <w:color w:val="141E2D"/>
                <w:sz w:val="18"/>
              </w:rPr>
              <w:t>Evidence text, and a warning. That single cell describes one row carrying two different states for two different vehicle programmes.</w:t>
            </w:r>
          </w:p>
        </w:tc>
      </w:tr>
      <w:tr>
        <w:tc>
          <w:tcPr>
            <w:tcW w:type="dxa" w:w="2340"/>
            <w:shd w:fill="FFFFFF"/>
          </w:tcPr>
          <w:p>
            <w:pPr>
              <w:spacing w:after="0"/>
            </w:pPr>
            <w:r>
              <w:rPr>
                <w:color w:val="141E2D"/>
                <w:sz w:val="18"/>
              </w:rPr>
              <w:t>Q Next Action To Do</w:t>
            </w:r>
          </w:p>
        </w:tc>
        <w:tc>
          <w:tcPr>
            <w:tcW w:type="dxa" w:w="2340"/>
            <w:shd w:fill="FFFFFF"/>
          </w:tcPr>
          <w:p>
            <w:pPr>
              <w:spacing w:after="0"/>
            </w:pPr>
            <w:r>
              <w:rPr>
                <w:color w:val="141E2D"/>
                <w:sz w:val="18"/>
              </w:rPr>
              <w:t>NX5 SoP: Sop'26. Design Review: Jul'25, PPAP: Oct'26</w:t>
            </w:r>
          </w:p>
        </w:tc>
        <w:tc>
          <w:tcPr>
            <w:tcW w:type="dxa" w:w="2340"/>
            <w:shd w:fill="FFFFFF"/>
          </w:tcPr>
          <w:p>
            <w:pPr>
              <w:spacing w:after="0"/>
            </w:pPr>
            <w:r>
              <w:rPr>
                <w:color w:val="141E2D"/>
                <w:sz w:val="18"/>
              </w:rPr>
              <w:t>No</w:t>
            </w:r>
          </w:p>
        </w:tc>
        <w:tc>
          <w:tcPr>
            <w:tcW w:type="dxa" w:w="2340"/>
            <w:shd w:fill="FFFFFF"/>
          </w:tcPr>
          <w:p>
            <w:pPr>
              <w:spacing w:after="0"/>
            </w:pPr>
            <w:r>
              <w:rPr>
                <w:color w:val="141E2D"/>
                <w:sz w:val="18"/>
              </w:rPr>
              <w:t>The milestone source. PPAP, ES, SoP and design-review dates are extracted from here for overdue and stall detection.</w:t>
            </w:r>
          </w:p>
        </w:tc>
      </w:tr>
    </w:tbl>
    <w:p/>
    <w:p>
      <w:r>
        <w:rPr>
          <w:i w:val="0"/>
          <w:color w:val="141E2D"/>
          <w:sz w:val="21"/>
        </w:rPr>
        <w:t>Row 11, part ID511, holds TBD in seven fields including Design Status, M/P, EAU, Unit/Set and both prices. It is a placeholder, not an opportunity, and Phase 0 should report it as such.</w:t>
      </w:r>
    </w:p>
    <w:p>
      <w:pPr>
        <w:pStyle w:val="Heading1"/>
      </w:pPr>
      <w:r>
        <w:t>4. FCST_Revenue</w:t>
      </w:r>
    </w:p>
    <w:p>
      <w:r>
        <w:rPr>
          <w:i w:val="0"/>
          <w:color w:val="141E2D"/>
          <w:sz w:val="21"/>
        </w:rPr>
        <w:t>Out of scope as an input. David split the forecast out to a finance-owned agent and broke these roll-ups on purpose. It still matters for two reasons: it is the only place quarterly phasing exists, and it is the shape of the feed this agent has to produce.</w:t>
      </w:r>
    </w:p>
    <w:tbl>
      <w:tblPr>
        <w:tblW w:type="auto" w:w="0"/>
        <w:jc w:val="center"/>
        <w:tblLayout w:type="fixed"/>
        <w:tblLook w:firstColumn="1" w:firstRow="1" w:lastColumn="0" w:lastRow="0" w:noHBand="0" w:noVBand="1" w:val="04A0"/>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2340"/>
        <w:gridCol w:w="2340"/>
        <w:gridCol w:w="2340"/>
        <w:gridCol w:w="2340"/>
      </w:tblGrid>
      <w:tr>
        <w:tc>
          <w:tcPr>
            <w:tcW w:type="dxa" w:w="1800"/>
            <w:vAlign w:val="center"/>
            <w:tcMar>
              <w:top w:w="80" w:type="dxa"/>
              <w:start w:w="120" w:type="dxa"/>
              <w:bottom w:w="80" w:type="dxa"/>
              <w:end w:w="120" w:type="dxa"/>
            </w:tcMar>
            <w:shd w:fill="F2F4F7"/>
          </w:tcPr>
          <w:p>
            <w:pPr>
              <w:spacing w:after="0"/>
            </w:pPr>
            <w:r>
              <w:rPr>
                <w:b/>
                <w:color w:val="141E2D"/>
                <w:sz w:val="19"/>
              </w:rPr>
              <w:t>Column</w:t>
            </w:r>
          </w:p>
        </w:tc>
        <w:tc>
          <w:tcPr>
            <w:tcW w:type="dxa" w:w="1512"/>
            <w:vAlign w:val="center"/>
            <w:tcMar>
              <w:top w:w="80" w:type="dxa"/>
              <w:start w:w="120" w:type="dxa"/>
              <w:bottom w:w="80" w:type="dxa"/>
              <w:end w:w="120" w:type="dxa"/>
            </w:tcMar>
            <w:shd w:fill="F2F4F7"/>
          </w:tcPr>
          <w:p>
            <w:pPr>
              <w:spacing w:after="0"/>
            </w:pPr>
            <w:r>
              <w:rPr>
                <w:b/>
                <w:color w:val="141E2D"/>
                <w:sz w:val="19"/>
              </w:rPr>
              <w:t>Example</w:t>
            </w:r>
          </w:p>
        </w:tc>
        <w:tc>
          <w:tcPr>
            <w:tcW w:type="dxa" w:w="1944"/>
            <w:vAlign w:val="center"/>
            <w:tcMar>
              <w:top w:w="80" w:type="dxa"/>
              <w:start w:w="120" w:type="dxa"/>
              <w:bottom w:w="80" w:type="dxa"/>
              <w:end w:w="120" w:type="dxa"/>
            </w:tcMar>
            <w:shd w:fill="F2F4F7"/>
          </w:tcPr>
          <w:p>
            <w:pPr>
              <w:spacing w:after="0"/>
            </w:pPr>
            <w:r>
              <w:rPr>
                <w:b/>
                <w:color w:val="141E2D"/>
                <w:sz w:val="19"/>
              </w:rPr>
              <w:t>Calculation use</w:t>
            </w:r>
          </w:p>
        </w:tc>
        <w:tc>
          <w:tcPr>
            <w:tcW w:type="dxa" w:w="4104"/>
            <w:vAlign w:val="center"/>
            <w:tcMar>
              <w:top w:w="80" w:type="dxa"/>
              <w:start w:w="120" w:type="dxa"/>
              <w:bottom w:w="80" w:type="dxa"/>
              <w:end w:w="120" w:type="dxa"/>
            </w:tcMar>
            <w:shd w:fill="F2F4F7"/>
          </w:tcPr>
          <w:p>
            <w:pPr>
              <w:spacing w:after="0"/>
            </w:pPr>
            <w:r>
              <w:rPr>
                <w:b/>
                <w:color w:val="141E2D"/>
                <w:sz w:val="19"/>
              </w:rPr>
              <w:t>How the agent uses it</w:t>
            </w:r>
          </w:p>
        </w:tc>
      </w:tr>
      <w:tr>
        <w:tc>
          <w:tcPr>
            <w:tcW w:type="dxa" w:w="2340"/>
            <w:shd w:fill="FFFFFF"/>
          </w:tcPr>
          <w:p>
            <w:pPr>
              <w:spacing w:after="0"/>
            </w:pPr>
            <w:r>
              <w:rPr>
                <w:color w:val="141E2D"/>
                <w:sz w:val="18"/>
              </w:rPr>
              <w:t>A to I identity</w:t>
            </w:r>
          </w:p>
        </w:tc>
        <w:tc>
          <w:tcPr>
            <w:tcW w:type="dxa" w:w="2340"/>
            <w:shd w:fill="FFFFFF"/>
          </w:tcPr>
          <w:p>
            <w:pPr>
              <w:spacing w:after="0"/>
            </w:pPr>
            <w:r>
              <w:rPr>
                <w:color w:val="141E2D"/>
                <w:sz w:val="18"/>
              </w:rPr>
              <w:t>KR, Mobis, Hyundai/Kia, TK1, Tail Lamp, Lighting, ID801, M/P</w:t>
            </w:r>
          </w:p>
        </w:tc>
        <w:tc>
          <w:tcPr>
            <w:tcW w:type="dxa" w:w="2340"/>
            <w:shd w:fill="FFFFFF"/>
          </w:tcPr>
          <w:p>
            <w:pPr>
              <w:spacing w:after="0"/>
            </w:pPr>
            <w:r>
              <w:rPr>
                <w:color w:val="141E2D"/>
                <w:sz w:val="18"/>
              </w:rPr>
              <w:t>No</w:t>
            </w:r>
          </w:p>
        </w:tc>
        <w:tc>
          <w:tcPr>
            <w:tcW w:type="dxa" w:w="2340"/>
            <w:shd w:fill="FFFFFF"/>
          </w:tcPr>
          <w:p>
            <w:pPr>
              <w:spacing w:after="0"/>
            </w:pPr>
            <w:r>
              <w:rPr>
                <w:color w:val="141E2D"/>
                <w:sz w:val="18"/>
              </w:rPr>
              <w:t>Project Name here is the vehicle programme, TK1 or NX5 or DL3 FL, not the lamp project. One Funnel row maps to several rows here through Part#.</w:t>
            </w:r>
          </w:p>
        </w:tc>
      </w:tr>
      <w:tr>
        <w:tc>
          <w:tcPr>
            <w:tcW w:type="dxa" w:w="2340"/>
            <w:shd w:fill="FFFFFF"/>
          </w:tcPr>
          <w:p>
            <w:pPr>
              <w:spacing w:after="0"/>
            </w:pPr>
            <w:r>
              <w:rPr>
                <w:color w:val="141E2D"/>
                <w:sz w:val="18"/>
              </w:rPr>
              <w:t>J EAU [Kpcs]</w:t>
            </w:r>
          </w:p>
        </w:tc>
        <w:tc>
          <w:tcPr>
            <w:tcW w:type="dxa" w:w="2340"/>
            <w:shd w:fill="FFFFFF"/>
          </w:tcPr>
          <w:p>
            <w:pPr>
              <w:spacing w:after="0"/>
            </w:pPr>
            <w:r>
              <w:rPr>
                <w:color w:val="141E2D"/>
                <w:sz w:val="18"/>
              </w:rPr>
              <w:t>1343, 3854, 1464</w:t>
            </w:r>
          </w:p>
        </w:tc>
        <w:tc>
          <w:tcPr>
            <w:tcW w:type="dxa" w:w="2340"/>
            <w:shd w:fill="FFFFFF"/>
          </w:tcPr>
          <w:p>
            <w:pPr>
              <w:spacing w:after="0"/>
            </w:pPr>
            <w:r>
              <w:rPr>
                <w:color w:val="141E2D"/>
                <w:sz w:val="18"/>
              </w:rPr>
              <w:t>No</w:t>
            </w:r>
          </w:p>
        </w:tc>
        <w:tc>
          <w:tcPr>
            <w:tcW w:type="dxa" w:w="2340"/>
            <w:shd w:fill="FFFFFF"/>
          </w:tcPr>
          <w:p>
            <w:pPr>
              <w:spacing w:after="0"/>
            </w:pPr>
            <w:r>
              <w:rPr>
                <w:color w:val="141E2D"/>
                <w:sz w:val="18"/>
              </w:rPr>
              <w:t>Programme-level annual volume. ID801 totals about 5,200 Kpcs across two programmes here against 57,175 Kpcs on Funnel for the same part.</w:t>
            </w:r>
          </w:p>
        </w:tc>
      </w:tr>
      <w:tr>
        <w:tc>
          <w:tcPr>
            <w:tcW w:type="dxa" w:w="2340"/>
            <w:shd w:fill="FFFFFF"/>
          </w:tcPr>
          <w:p>
            <w:pPr>
              <w:spacing w:after="0"/>
            </w:pPr>
            <w:r>
              <w:rPr>
                <w:color w:val="141E2D"/>
                <w:sz w:val="18"/>
              </w:rPr>
              <w:t>K Unit/Set</w:t>
            </w:r>
          </w:p>
        </w:tc>
        <w:tc>
          <w:tcPr>
            <w:tcW w:type="dxa" w:w="2340"/>
            <w:shd w:fill="FFFFFF"/>
          </w:tcPr>
          <w:p>
            <w:pPr>
              <w:spacing w:after="0"/>
            </w:pPr>
            <w:r>
              <w:rPr>
                <w:color w:val="141E2D"/>
                <w:sz w:val="18"/>
              </w:rPr>
              <w:t>20, 4</w:t>
            </w:r>
          </w:p>
        </w:tc>
        <w:tc>
          <w:tcPr>
            <w:tcW w:type="dxa" w:w="2340"/>
            <w:shd w:fill="FFFFFF"/>
          </w:tcPr>
          <w:p>
            <w:pPr>
              <w:spacing w:after="0"/>
            </w:pPr>
            <w:r>
              <w:rPr>
                <w:color w:val="141E2D"/>
                <w:sz w:val="18"/>
              </w:rPr>
              <w:t>No</w:t>
            </w:r>
          </w:p>
        </w:tc>
        <w:tc>
          <w:tcPr>
            <w:tcW w:type="dxa" w:w="2340"/>
            <w:shd w:fill="FFFFFF"/>
          </w:tcPr>
          <w:p>
            <w:pPr>
              <w:spacing w:after="0"/>
            </w:pPr>
            <w:r>
              <w:rPr>
                <w:color w:val="141E2D"/>
                <w:sz w:val="18"/>
              </w:rPr>
              <w:t>Same attach rate as Funnel.</w:t>
            </w:r>
          </w:p>
        </w:tc>
      </w:tr>
      <w:tr>
        <w:tc>
          <w:tcPr>
            <w:tcW w:type="dxa" w:w="2340"/>
            <w:shd w:fill="FFFFFF"/>
          </w:tcPr>
          <w:p>
            <w:pPr>
              <w:spacing w:after="0"/>
            </w:pPr>
            <w:r>
              <w:rPr>
                <w:color w:val="141E2D"/>
                <w:sz w:val="18"/>
              </w:rPr>
              <w:t>L Disty Cost (ASP)</w:t>
            </w:r>
          </w:p>
        </w:tc>
        <w:tc>
          <w:tcPr>
            <w:tcW w:type="dxa" w:w="2340"/>
            <w:shd w:fill="FFFFFF"/>
          </w:tcPr>
          <w:p>
            <w:pPr>
              <w:spacing w:after="0"/>
            </w:pPr>
            <w:r>
              <w:rPr>
                <w:color w:val="141E2D"/>
                <w:sz w:val="18"/>
              </w:rPr>
              <w:t>0.4615, 0.4792, 1</w:t>
            </w:r>
          </w:p>
        </w:tc>
        <w:tc>
          <w:tcPr>
            <w:tcW w:type="dxa" w:w="2340"/>
            <w:shd w:fill="FFFFFF"/>
          </w:tcPr>
          <w:p>
            <w:pPr>
              <w:spacing w:after="0"/>
            </w:pPr>
            <w:r>
              <w:rPr>
                <w:color w:val="141E2D"/>
                <w:sz w:val="18"/>
              </w:rPr>
              <w:t>Yes</w:t>
            </w:r>
          </w:p>
        </w:tc>
        <w:tc>
          <w:tcPr>
            <w:tcW w:type="dxa" w:w="2340"/>
            <w:shd w:fill="FFFFFF"/>
          </w:tcPr>
          <w:p>
            <w:pPr>
              <w:spacing w:after="0"/>
            </w:pPr>
            <w:r>
              <w:rPr>
                <w:color w:val="141E2D"/>
                <w:sz w:val="18"/>
              </w:rPr>
              <w:t>Price multiplier for every quarterly revenue cell. Set to 1 on NRE rows so the unit columns can carry dollars directly.</w:t>
            </w:r>
          </w:p>
        </w:tc>
      </w:tr>
      <w:tr>
        <w:tc>
          <w:tcPr>
            <w:tcW w:type="dxa" w:w="2340"/>
            <w:shd w:fill="FFFFFF"/>
          </w:tcPr>
          <w:p>
            <w:pPr>
              <w:spacing w:after="0"/>
            </w:pPr>
            <w:r>
              <w:rPr>
                <w:color w:val="141E2D"/>
                <w:sz w:val="18"/>
              </w:rPr>
              <w:t>N to Q, X to AA</w:t>
            </w:r>
          </w:p>
        </w:tc>
        <w:tc>
          <w:tcPr>
            <w:tcW w:type="dxa" w:w="2340"/>
            <w:shd w:fill="FFFFFF"/>
          </w:tcPr>
          <w:p>
            <w:pPr>
              <w:spacing w:after="0"/>
            </w:pPr>
            <w:r>
              <w:rPr>
                <w:color w:val="141E2D"/>
                <w:sz w:val="18"/>
              </w:rPr>
              <w:t>0, 0, 300, 900</w:t>
            </w:r>
          </w:p>
        </w:tc>
        <w:tc>
          <w:tcPr>
            <w:tcW w:type="dxa" w:w="2340"/>
            <w:shd w:fill="FFFFFF"/>
          </w:tcPr>
          <w:p>
            <w:pPr>
              <w:spacing w:after="0"/>
            </w:pPr>
            <w:r>
              <w:rPr>
                <w:color w:val="141E2D"/>
                <w:sz w:val="18"/>
              </w:rPr>
              <w:t>Yes</w:t>
            </w:r>
          </w:p>
        </w:tc>
        <w:tc>
          <w:tcPr>
            <w:tcW w:type="dxa" w:w="2340"/>
            <w:shd w:fill="FFFFFF"/>
          </w:tcPr>
          <w:p>
            <w:pPr>
              <w:spacing w:after="0"/>
            </w:pPr>
            <w:r>
              <w:rPr>
                <w:color w:val="141E2D"/>
                <w:sz w:val="18"/>
              </w:rPr>
              <w:t>Quarterly unit forecasts for CY25 and CY26, entered by hand. This is the only phasing information in the file, and the answer to how an annual EAU becomes quarters.</w:t>
            </w:r>
          </w:p>
        </w:tc>
      </w:tr>
      <w:tr>
        <w:tc>
          <w:tcPr>
            <w:tcW w:type="dxa" w:w="2340"/>
            <w:shd w:fill="FFFFFF"/>
          </w:tcPr>
          <w:p>
            <w:pPr>
              <w:spacing w:after="0"/>
            </w:pPr>
            <w:r>
              <w:rPr>
                <w:color w:val="141E2D"/>
                <w:sz w:val="18"/>
              </w:rPr>
              <w:t>R, AB</w:t>
            </w:r>
          </w:p>
        </w:tc>
        <w:tc>
          <w:tcPr>
            <w:tcW w:type="dxa" w:w="2340"/>
            <w:shd w:fill="FFFFFF"/>
          </w:tcPr>
          <w:p>
            <w:pPr>
              <w:spacing w:after="0"/>
            </w:pPr>
            <w:r>
              <w:rPr>
                <w:color w:val="141E2D"/>
                <w:sz w:val="18"/>
              </w:rPr>
              <w:t>=SUM(N:Q)</w:t>
            </w:r>
          </w:p>
        </w:tc>
        <w:tc>
          <w:tcPr>
            <w:tcW w:type="dxa" w:w="2340"/>
            <w:shd w:fill="FFFFFF"/>
          </w:tcPr>
          <w:p>
            <w:pPr>
              <w:spacing w:after="0"/>
            </w:pPr>
            <w:r>
              <w:rPr>
                <w:color w:val="141E2D"/>
                <w:sz w:val="18"/>
              </w:rPr>
              <w:t>Computed</w:t>
            </w:r>
          </w:p>
        </w:tc>
        <w:tc>
          <w:tcPr>
            <w:tcW w:type="dxa" w:w="2340"/>
            <w:shd w:fill="FFFFFF"/>
          </w:tcPr>
          <w:p>
            <w:pPr>
              <w:spacing w:after="0"/>
            </w:pPr>
            <w:r>
              <w:rPr>
                <w:color w:val="141E2D"/>
                <w:sz w:val="18"/>
              </w:rPr>
              <w:t>Annual unit totals per year.</w:t>
            </w:r>
          </w:p>
        </w:tc>
      </w:tr>
      <w:tr>
        <w:tc>
          <w:tcPr>
            <w:tcW w:type="dxa" w:w="2340"/>
            <w:shd w:fill="FFFFFF"/>
          </w:tcPr>
          <w:p>
            <w:pPr>
              <w:spacing w:after="0"/>
            </w:pPr>
            <w:r>
              <w:rPr>
                <w:color w:val="141E2D"/>
                <w:sz w:val="18"/>
              </w:rPr>
              <w:t>S to V, AC to AF</w:t>
            </w:r>
          </w:p>
        </w:tc>
        <w:tc>
          <w:tcPr>
            <w:tcW w:type="dxa" w:w="2340"/>
            <w:shd w:fill="FFFFFF"/>
          </w:tcPr>
          <w:p>
            <w:pPr>
              <w:spacing w:after="0"/>
            </w:pPr>
            <w:r>
              <w:rPr>
                <w:color w:val="141E2D"/>
                <w:sz w:val="18"/>
              </w:rPr>
              <w:t>=L*N</w:t>
            </w:r>
          </w:p>
        </w:tc>
        <w:tc>
          <w:tcPr>
            <w:tcW w:type="dxa" w:w="2340"/>
            <w:shd w:fill="FFFFFF"/>
          </w:tcPr>
          <w:p>
            <w:pPr>
              <w:spacing w:after="0"/>
            </w:pPr>
            <w:r>
              <w:rPr>
                <w:color w:val="141E2D"/>
                <w:sz w:val="18"/>
              </w:rPr>
              <w:t>Computed</w:t>
            </w:r>
          </w:p>
        </w:tc>
        <w:tc>
          <w:tcPr>
            <w:tcW w:type="dxa" w:w="2340"/>
            <w:shd w:fill="FFFFFF"/>
          </w:tcPr>
          <w:p>
            <w:pPr>
              <w:spacing w:after="0"/>
            </w:pPr>
            <w:r>
              <w:rPr>
                <w:color w:val="141E2D"/>
                <w:sz w:val="18"/>
              </w:rPr>
              <w:t>Quarterly revenue. Unweighted, with no confidence applied anywhere on this tab.</w:t>
            </w:r>
          </w:p>
        </w:tc>
      </w:tr>
      <w:tr>
        <w:tc>
          <w:tcPr>
            <w:tcW w:type="dxa" w:w="2340"/>
            <w:shd w:fill="FFFFFF"/>
          </w:tcPr>
          <w:p>
            <w:pPr>
              <w:spacing w:after="0"/>
            </w:pPr>
            <w:r>
              <w:rPr>
                <w:color w:val="141E2D"/>
                <w:sz w:val="18"/>
              </w:rPr>
              <w:t>W, AG</w:t>
            </w:r>
          </w:p>
        </w:tc>
        <w:tc>
          <w:tcPr>
            <w:tcW w:type="dxa" w:w="2340"/>
            <w:shd w:fill="FFFFFF"/>
          </w:tcPr>
          <w:p>
            <w:pPr>
              <w:spacing w:after="0"/>
            </w:pPr>
            <w:r>
              <w:rPr>
                <w:color w:val="141E2D"/>
                <w:sz w:val="18"/>
              </w:rPr>
              <w:t>=SUM(S:V)</w:t>
            </w:r>
          </w:p>
        </w:tc>
        <w:tc>
          <w:tcPr>
            <w:tcW w:type="dxa" w:w="2340"/>
            <w:shd w:fill="FFFFFF"/>
          </w:tcPr>
          <w:p>
            <w:pPr>
              <w:spacing w:after="0"/>
            </w:pPr>
            <w:r>
              <w:rPr>
                <w:color w:val="141E2D"/>
                <w:sz w:val="18"/>
              </w:rPr>
              <w:t>Computed</w:t>
            </w:r>
          </w:p>
        </w:tc>
        <w:tc>
          <w:tcPr>
            <w:tcW w:type="dxa" w:w="2340"/>
            <w:shd w:fill="FFFFFF"/>
          </w:tcPr>
          <w:p>
            <w:pPr>
              <w:spacing w:after="0"/>
            </w:pPr>
            <w:r>
              <w:rPr>
                <w:color w:val="141E2D"/>
                <w:sz w:val="18"/>
              </w:rPr>
              <w:t>Annual revenue totals per year.</w:t>
            </w:r>
          </w:p>
        </w:tc>
      </w:tr>
      <w:tr>
        <w:tc>
          <w:tcPr>
            <w:tcW w:type="dxa" w:w="2340"/>
            <w:shd w:fill="FFFFFF"/>
          </w:tcPr>
          <w:p>
            <w:pPr>
              <w:spacing w:after="0"/>
            </w:pPr>
            <w:r>
              <w:rPr>
                <w:color w:val="141E2D"/>
                <w:sz w:val="18"/>
              </w:rPr>
              <w:t>AH Remarks</w:t>
            </w:r>
          </w:p>
        </w:tc>
        <w:tc>
          <w:tcPr>
            <w:tcW w:type="dxa" w:w="2340"/>
            <w:shd w:fill="FFFFFF"/>
          </w:tcPr>
          <w:p>
            <w:pPr>
              <w:spacing w:after="0"/>
            </w:pPr>
            <w:r>
              <w:rPr>
                <w:color w:val="141E2D"/>
                <w:sz w:val="18"/>
              </w:rPr>
              <w:t>Updated TK1 fcst</w:t>
            </w:r>
          </w:p>
        </w:tc>
        <w:tc>
          <w:tcPr>
            <w:tcW w:type="dxa" w:w="2340"/>
            <w:shd w:fill="FFFFFF"/>
          </w:tcPr>
          <w:p>
            <w:pPr>
              <w:spacing w:after="0"/>
            </w:pPr>
            <w:r>
              <w:rPr>
                <w:color w:val="141E2D"/>
                <w:sz w:val="18"/>
              </w:rPr>
              <w:t>No</w:t>
            </w:r>
          </w:p>
        </w:tc>
        <w:tc>
          <w:tcPr>
            <w:tcW w:type="dxa" w:w="2340"/>
            <w:shd w:fill="FFFFFF"/>
          </w:tcPr>
          <w:p>
            <w:pPr>
              <w:spacing w:after="0"/>
            </w:pPr>
            <w:r>
              <w:rPr>
                <w:color w:val="141E2D"/>
                <w:sz w:val="18"/>
              </w:rPr>
              <w:t>Free text context.</w:t>
            </w:r>
          </w:p>
        </w:tc>
      </w:tr>
      <w:tr>
        <w:tc>
          <w:tcPr>
            <w:tcW w:type="dxa" w:w="2340"/>
            <w:shd w:fill="FFFFFF"/>
          </w:tcPr>
          <w:p>
            <w:pPr>
              <w:spacing w:after="0"/>
            </w:pPr>
            <w:r>
              <w:rPr>
                <w:color w:val="141E2D"/>
                <w:sz w:val="18"/>
              </w:rPr>
              <w:t>Rows 20 to 24</w:t>
            </w:r>
          </w:p>
        </w:tc>
        <w:tc>
          <w:tcPr>
            <w:tcW w:type="dxa" w:w="2340"/>
            <w:shd w:fill="FFFFFF"/>
          </w:tcPr>
          <w:p>
            <w:pPr>
              <w:spacing w:after="0"/>
            </w:pPr>
            <w:r>
              <w:rPr>
                <w:color w:val="141E2D"/>
                <w:sz w:val="18"/>
              </w:rPr>
              <w:t>Korea Region, Europe Region, Taiwan Region, Japan Region, Elevation Micro Total</w:t>
            </w:r>
          </w:p>
        </w:tc>
        <w:tc>
          <w:tcPr>
            <w:tcW w:type="dxa" w:w="2340"/>
            <w:shd w:fill="FFFFFF"/>
          </w:tcPr>
          <w:p>
            <w:pPr>
              <w:spacing w:after="0"/>
            </w:pPr>
            <w:r>
              <w:rPr>
                <w:color w:val="141E2D"/>
                <w:sz w:val="18"/>
              </w:rPr>
              <w:t>Broken</w:t>
            </w:r>
          </w:p>
        </w:tc>
        <w:tc>
          <w:tcPr>
            <w:tcW w:type="dxa" w:w="2340"/>
            <w:shd w:fill="FFFFFF"/>
          </w:tcPr>
          <w:p>
            <w:pPr>
              <w:spacing w:after="0"/>
            </w:pPr>
            <w:r>
              <w:rPr>
                <w:color w:val="141E2D"/>
                <w:sz w:val="18"/>
              </w:rPr>
              <w:t>Korea sums correctly. Europe and Taiwan are #REF! across every quarter. Japan sums AB6:AB21, a range that overlaps the Korea rows and the Korea total. The company total adds all four together.</w:t>
            </w:r>
          </w:p>
        </w:tc>
      </w:tr>
    </w:tbl>
    <w:p/>
    <w:p>
      <w:r>
        <w:rPr>
          <w:i w:val="0"/>
          <w:color w:val="141E2D"/>
          <w:sz w:val="21"/>
        </w:rPr>
        <w:t>This tab also holds a revenue type that exists nowhere else. Rows 8 to 14 carry Design Status NRE for engineering charges and design-tool licences, with M/P set to N/A, Unit/Set blank, ASP forced to 1 and the unit column holding dollars. Examples include a second NRE at $126K and an annual seven-seat licence at $210K. NRE is not in ProjectTrack, not in the POC, and not covered by David's status and stage rules, so the agent currently has no way to represent it.</w:t>
      </w:r>
    </w:p>
    <w:p>
      <w:pPr>
        <w:pStyle w:val="Heading1"/>
      </w:pPr>
      <w:r>
        <w:t>5. Mass Production and Design Lost</w:t>
      </w:r>
    </w:p>
    <w:p>
      <w:r>
        <w:rPr>
          <w:i w:val="0"/>
          <w:color w:val="141E2D"/>
          <w:sz w:val="21"/>
        </w:rPr>
        <w:t>Identical layouts, and both are terminal states rather than separate datasets. Neither has a Stage column, so a record loses its validation stage the moment it moves. Preserving Stage through the transition is a requirement on the auto-move.</w:t>
      </w:r>
    </w:p>
    <w:tbl>
      <w:tblPr>
        <w:tblW w:type="auto" w:w="0"/>
        <w:jc w:val="center"/>
        <w:tblLayout w:type="fixed"/>
        <w:tblLook w:firstColumn="1" w:firstRow="1" w:lastColumn="0" w:lastRow="0" w:noHBand="0" w:noVBand="1" w:val="04A0"/>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2340"/>
        <w:gridCol w:w="2340"/>
        <w:gridCol w:w="2340"/>
        <w:gridCol w:w="2340"/>
      </w:tblGrid>
      <w:tr>
        <w:tc>
          <w:tcPr>
            <w:tcW w:type="dxa" w:w="1800"/>
            <w:vAlign w:val="center"/>
            <w:tcMar>
              <w:top w:w="80" w:type="dxa"/>
              <w:start w:w="120" w:type="dxa"/>
              <w:bottom w:w="80" w:type="dxa"/>
              <w:end w:w="120" w:type="dxa"/>
            </w:tcMar>
            <w:shd w:fill="E8EEF5"/>
          </w:tcPr>
          <w:p>
            <w:pPr>
              <w:spacing w:after="0"/>
            </w:pPr>
            <w:r>
              <w:rPr>
                <w:b/>
                <w:color w:val="141E2D"/>
                <w:sz w:val="19"/>
              </w:rPr>
              <w:t>Column</w:t>
            </w:r>
          </w:p>
        </w:tc>
        <w:tc>
          <w:tcPr>
            <w:tcW w:type="dxa" w:w="1512"/>
            <w:vAlign w:val="center"/>
            <w:tcMar>
              <w:top w:w="80" w:type="dxa"/>
              <w:start w:w="120" w:type="dxa"/>
              <w:bottom w:w="80" w:type="dxa"/>
              <w:end w:w="120" w:type="dxa"/>
            </w:tcMar>
            <w:shd w:fill="E8EEF5"/>
          </w:tcPr>
          <w:p>
            <w:pPr>
              <w:spacing w:after="0"/>
            </w:pPr>
            <w:r>
              <w:rPr>
                <w:b/>
                <w:color w:val="141E2D"/>
                <w:sz w:val="19"/>
              </w:rPr>
              <w:t>Example</w:t>
            </w:r>
          </w:p>
        </w:tc>
        <w:tc>
          <w:tcPr>
            <w:tcW w:type="dxa" w:w="1944"/>
            <w:vAlign w:val="center"/>
            <w:tcMar>
              <w:top w:w="80" w:type="dxa"/>
              <w:start w:w="120" w:type="dxa"/>
              <w:bottom w:w="80" w:type="dxa"/>
              <w:end w:w="120" w:type="dxa"/>
            </w:tcMar>
            <w:shd w:fill="E8EEF5"/>
          </w:tcPr>
          <w:p>
            <w:pPr>
              <w:spacing w:after="0"/>
            </w:pPr>
            <w:r>
              <w:rPr>
                <w:b/>
                <w:color w:val="141E2D"/>
                <w:sz w:val="19"/>
              </w:rPr>
              <w:t>Calculation use</w:t>
            </w:r>
          </w:p>
        </w:tc>
        <w:tc>
          <w:tcPr>
            <w:tcW w:type="dxa" w:w="4104"/>
            <w:vAlign w:val="center"/>
            <w:tcMar>
              <w:top w:w="80" w:type="dxa"/>
              <w:start w:w="120" w:type="dxa"/>
              <w:bottom w:w="80" w:type="dxa"/>
              <w:end w:w="120" w:type="dxa"/>
            </w:tcMar>
            <w:shd w:fill="E8EEF5"/>
          </w:tcPr>
          <w:p>
            <w:pPr>
              <w:spacing w:after="0"/>
            </w:pPr>
            <w:r>
              <w:rPr>
                <w:b/>
                <w:color w:val="141E2D"/>
                <w:sz w:val="19"/>
              </w:rPr>
              <w:t>How the agent uses it</w:t>
            </w:r>
          </w:p>
        </w:tc>
      </w:tr>
      <w:tr>
        <w:tc>
          <w:tcPr>
            <w:tcW w:type="dxa" w:w="2340"/>
            <w:shd w:fill="FFFFFF"/>
          </w:tcPr>
          <w:p>
            <w:pPr>
              <w:spacing w:after="0"/>
            </w:pPr>
            <w:r>
              <w:rPr>
                <w:color w:val="141E2D"/>
                <w:sz w:val="18"/>
              </w:rPr>
              <w:t>A to H identity</w:t>
            </w:r>
          </w:p>
        </w:tc>
        <w:tc>
          <w:tcPr>
            <w:tcW w:type="dxa" w:w="2340"/>
            <w:shd w:fill="FFFFFF"/>
          </w:tcPr>
          <w:p>
            <w:pPr>
              <w:spacing w:after="0"/>
            </w:pPr>
            <w:r>
              <w:rPr>
                <w:color w:val="141E2D"/>
                <w:sz w:val="18"/>
              </w:rPr>
              <w:t>KR, SLM, GM, Zeus, ADAS, SerDes, AX01, Mass Production</w:t>
            </w:r>
          </w:p>
        </w:tc>
        <w:tc>
          <w:tcPr>
            <w:tcW w:type="dxa" w:w="2340"/>
            <w:shd w:fill="FFFFFF"/>
          </w:tcPr>
          <w:p>
            <w:pPr>
              <w:spacing w:after="0"/>
            </w:pPr>
            <w:r>
              <w:rPr>
                <w:color w:val="141E2D"/>
                <w:sz w:val="18"/>
              </w:rPr>
              <w:t>No</w:t>
            </w:r>
          </w:p>
        </w:tc>
        <w:tc>
          <w:tcPr>
            <w:tcW w:type="dxa" w:w="2340"/>
            <w:shd w:fill="FFFFFF"/>
          </w:tcPr>
          <w:p>
            <w:pPr>
              <w:spacing w:after="0"/>
            </w:pPr>
            <w:r>
              <w:rPr>
                <w:color w:val="141E2D"/>
                <w:sz w:val="18"/>
              </w:rPr>
              <w:t>Same dimensions. Design Status reads Mass Production on one tab and Lost on the other, so the tab is redundant with the status once there is a state field.</w:t>
            </w:r>
          </w:p>
        </w:tc>
      </w:tr>
      <w:tr>
        <w:tc>
          <w:tcPr>
            <w:tcW w:type="dxa" w:w="2340"/>
            <w:shd w:fill="FFFFFF"/>
          </w:tcPr>
          <w:p>
            <w:pPr>
              <w:spacing w:after="0"/>
            </w:pPr>
            <w:r>
              <w:rPr>
                <w:color w:val="141E2D"/>
                <w:sz w:val="18"/>
              </w:rPr>
              <w:t>I M/P</w:t>
            </w:r>
          </w:p>
        </w:tc>
        <w:tc>
          <w:tcPr>
            <w:tcW w:type="dxa" w:w="2340"/>
            <w:shd w:fill="FFFFFF"/>
          </w:tcPr>
          <w:p>
            <w:pPr>
              <w:spacing w:after="0"/>
            </w:pPr>
            <w:r>
              <w:rPr>
                <w:color w:val="141E2D"/>
                <w:sz w:val="18"/>
              </w:rPr>
              <w:t>Dec'24, Oct'26</w:t>
            </w:r>
          </w:p>
        </w:tc>
        <w:tc>
          <w:tcPr>
            <w:tcW w:type="dxa" w:w="2340"/>
            <w:shd w:fill="FFFFFF"/>
          </w:tcPr>
          <w:p>
            <w:pPr>
              <w:spacing w:after="0"/>
            </w:pPr>
            <w:r>
              <w:rPr>
                <w:color w:val="141E2D"/>
                <w:sz w:val="18"/>
              </w:rPr>
              <w:t>No</w:t>
            </w:r>
          </w:p>
        </w:tc>
        <w:tc>
          <w:tcPr>
            <w:tcW w:type="dxa" w:w="2340"/>
            <w:shd w:fill="FFFFFF"/>
          </w:tcPr>
          <w:p>
            <w:pPr>
              <w:spacing w:after="0"/>
            </w:pPr>
            <w:r>
              <w:rPr>
                <w:color w:val="141E2D"/>
                <w:sz w:val="18"/>
              </w:rPr>
              <w:t>Actual or expected production date. On Design Lost it is the date the opportunity would have produced, which is worth keeping for loss timing analysis.</w:t>
            </w:r>
          </w:p>
        </w:tc>
      </w:tr>
      <w:tr>
        <w:tc>
          <w:tcPr>
            <w:tcW w:type="dxa" w:w="2340"/>
            <w:shd w:fill="FFFFFF"/>
          </w:tcPr>
          <w:p>
            <w:pPr>
              <w:spacing w:after="0"/>
            </w:pPr>
            <w:r>
              <w:rPr>
                <w:color w:val="141E2D"/>
                <w:sz w:val="18"/>
              </w:rPr>
              <w:t>J EAU, K Unit/Set</w:t>
            </w:r>
          </w:p>
        </w:tc>
        <w:tc>
          <w:tcPr>
            <w:tcW w:type="dxa" w:w="2340"/>
            <w:shd w:fill="FFFFFF"/>
          </w:tcPr>
          <w:p>
            <w:pPr>
              <w:spacing w:after="0"/>
            </w:pPr>
            <w:r>
              <w:rPr>
                <w:color w:val="141E2D"/>
                <w:sz w:val="18"/>
              </w:rPr>
              <w:t>1400, 10</w:t>
            </w:r>
          </w:p>
        </w:tc>
        <w:tc>
          <w:tcPr>
            <w:tcW w:type="dxa" w:w="2340"/>
            <w:shd w:fill="FFFFFF"/>
          </w:tcPr>
          <w:p>
            <w:pPr>
              <w:spacing w:after="0"/>
            </w:pPr>
            <w:r>
              <w:rPr>
                <w:color w:val="141E2D"/>
                <w:sz w:val="18"/>
              </w:rPr>
              <w:t>Yes, EAU only</w:t>
            </w:r>
          </w:p>
        </w:tc>
        <w:tc>
          <w:tcPr>
            <w:tcW w:type="dxa" w:w="2340"/>
            <w:shd w:fill="FFFFFF"/>
          </w:tcPr>
          <w:p>
            <w:pPr>
              <w:spacing w:after="0"/>
            </w:pPr>
            <w:r>
              <w:rPr>
                <w:color w:val="141E2D"/>
                <w:sz w:val="18"/>
              </w:rPr>
              <w:t>Same as ProjectTrack. On Design Lost this is the volume that was not won, which is the number a loss report should show.</w:t>
            </w:r>
          </w:p>
        </w:tc>
      </w:tr>
      <w:tr>
        <w:tc>
          <w:tcPr>
            <w:tcW w:type="dxa" w:w="2340"/>
            <w:shd w:fill="FFFFFF"/>
          </w:tcPr>
          <w:p>
            <w:pPr>
              <w:spacing w:after="0"/>
            </w:pPr>
            <w:r>
              <w:rPr>
                <w:color w:val="141E2D"/>
                <w:sz w:val="18"/>
              </w:rPr>
              <w:t>L Disty, M Resale</w:t>
            </w:r>
          </w:p>
        </w:tc>
        <w:tc>
          <w:tcPr>
            <w:tcW w:type="dxa" w:w="2340"/>
            <w:shd w:fill="FFFFFF"/>
          </w:tcPr>
          <w:p>
            <w:pPr>
              <w:spacing w:after="0"/>
            </w:pPr>
            <w:r>
              <w:rPr>
                <w:color w:val="141E2D"/>
                <w:sz w:val="18"/>
              </w:rPr>
              <w:t>3, 3.2</w:t>
            </w:r>
          </w:p>
        </w:tc>
        <w:tc>
          <w:tcPr>
            <w:tcW w:type="dxa" w:w="2340"/>
            <w:shd w:fill="FFFFFF"/>
          </w:tcPr>
          <w:p>
            <w:pPr>
              <w:spacing w:after="0"/>
            </w:pPr>
            <w:r>
              <w:rPr>
                <w:color w:val="141E2D"/>
                <w:sz w:val="18"/>
              </w:rPr>
              <w:t>Yes, Disty only</w:t>
            </w:r>
          </w:p>
        </w:tc>
        <w:tc>
          <w:tcPr>
            <w:tcW w:type="dxa" w:w="2340"/>
            <w:shd w:fill="FFFFFF"/>
          </w:tcPr>
          <w:p>
            <w:pPr>
              <w:spacing w:after="0"/>
            </w:pPr>
            <w:r>
              <w:rPr>
                <w:color w:val="141E2D"/>
                <w:sz w:val="18"/>
              </w:rPr>
              <w:t>Same as ProjectTrack.</w:t>
            </w:r>
          </w:p>
        </w:tc>
      </w:tr>
      <w:tr>
        <w:tc>
          <w:tcPr>
            <w:tcW w:type="dxa" w:w="2340"/>
            <w:shd w:fill="FFFFFF"/>
          </w:tcPr>
          <w:p>
            <w:pPr>
              <w:spacing w:after="0"/>
            </w:pPr>
            <w:r>
              <w:rPr>
                <w:color w:val="141E2D"/>
                <w:sz w:val="18"/>
              </w:rPr>
              <w:t>N Sales Revenue</w:t>
            </w:r>
          </w:p>
        </w:tc>
        <w:tc>
          <w:tcPr>
            <w:tcW w:type="dxa" w:w="2340"/>
            <w:shd w:fill="FFFFFF"/>
          </w:tcPr>
          <w:p>
            <w:pPr>
              <w:spacing w:after="0"/>
            </w:pPr>
            <w:r>
              <w:rPr>
                <w:color w:val="141E2D"/>
                <w:sz w:val="18"/>
              </w:rPr>
              <w:t>=J*L</w:t>
            </w:r>
          </w:p>
        </w:tc>
        <w:tc>
          <w:tcPr>
            <w:tcW w:type="dxa" w:w="2340"/>
            <w:shd w:fill="FFFFFF"/>
          </w:tcPr>
          <w:p>
            <w:pPr>
              <w:spacing w:after="0"/>
            </w:pPr>
            <w:r>
              <w:rPr>
                <w:color w:val="141E2D"/>
                <w:sz w:val="18"/>
              </w:rPr>
              <w:t>Computed</w:t>
            </w:r>
          </w:p>
        </w:tc>
        <w:tc>
          <w:tcPr>
            <w:tcW w:type="dxa" w:w="2340"/>
            <w:shd w:fill="FFFFFF"/>
          </w:tcPr>
          <w:p>
            <w:pPr>
              <w:spacing w:after="0"/>
            </w:pPr>
            <w:r>
              <w:rPr>
                <w:color w:val="141E2D"/>
                <w:sz w:val="18"/>
              </w:rPr>
              <w:t>Note the different column letters from ProjectTrack, caused by the missing Stage column. The reader must map by header name, never by position.</w:t>
            </w:r>
          </w:p>
        </w:tc>
      </w:tr>
      <w:tr>
        <w:tc>
          <w:tcPr>
            <w:tcW w:type="dxa" w:w="2340"/>
            <w:shd w:fill="FFFFFF"/>
          </w:tcPr>
          <w:p>
            <w:pPr>
              <w:spacing w:after="0"/>
            </w:pPr>
            <w:r>
              <w:rPr>
                <w:color w:val="141E2D"/>
                <w:sz w:val="18"/>
              </w:rPr>
              <w:t>P Confidence Level</w:t>
            </w:r>
          </w:p>
        </w:tc>
        <w:tc>
          <w:tcPr>
            <w:tcW w:type="dxa" w:w="2340"/>
            <w:shd w:fill="FFFFFF"/>
          </w:tcPr>
          <w:p>
            <w:pPr>
              <w:spacing w:after="0"/>
            </w:pPr>
            <w:r>
              <w:rPr>
                <w:color w:val="141E2D"/>
                <w:sz w:val="18"/>
              </w:rPr>
              <w:t>1.00 on Mass Production, 0.00 on Design Lost</w:t>
            </w:r>
          </w:p>
        </w:tc>
        <w:tc>
          <w:tcPr>
            <w:tcW w:type="dxa" w:w="2340"/>
            <w:shd w:fill="FFFFFF"/>
          </w:tcPr>
          <w:p>
            <w:pPr>
              <w:spacing w:after="0"/>
            </w:pPr>
            <w:r>
              <w:rPr>
                <w:color w:val="141E2D"/>
                <w:sz w:val="18"/>
              </w:rPr>
              <w:t>Yes</w:t>
            </w:r>
          </w:p>
        </w:tc>
        <w:tc>
          <w:tcPr>
            <w:tcW w:type="dxa" w:w="2340"/>
            <w:shd w:fill="FFFFFF"/>
          </w:tcPr>
          <w:p>
            <w:pPr>
              <w:spacing w:after="0"/>
            </w:pPr>
            <w:r>
              <w:rPr>
                <w:color w:val="141E2D"/>
                <w:sz w:val="18"/>
              </w:rPr>
              <w:t>Fixed by the state. Nothing for the judgment layer to do on either tab.</w:t>
            </w:r>
          </w:p>
        </w:tc>
      </w:tr>
      <w:tr>
        <w:tc>
          <w:tcPr>
            <w:tcW w:type="dxa" w:w="2340"/>
            <w:shd w:fill="FFFFFF"/>
          </w:tcPr>
          <w:p>
            <w:pPr>
              <w:spacing w:after="0"/>
            </w:pPr>
            <w:r>
              <w:rPr>
                <w:color w:val="141E2D"/>
                <w:sz w:val="18"/>
              </w:rPr>
              <w:t>Q Adjusted Revenue</w:t>
            </w:r>
          </w:p>
        </w:tc>
        <w:tc>
          <w:tcPr>
            <w:tcW w:type="dxa" w:w="2340"/>
            <w:shd w:fill="FFFFFF"/>
          </w:tcPr>
          <w:p>
            <w:pPr>
              <w:spacing w:after="0"/>
            </w:pPr>
            <w:r>
              <w:rPr>
                <w:color w:val="141E2D"/>
                <w:sz w:val="18"/>
              </w:rPr>
              <w:t>=N*P</w:t>
            </w:r>
          </w:p>
        </w:tc>
        <w:tc>
          <w:tcPr>
            <w:tcW w:type="dxa" w:w="2340"/>
            <w:shd w:fill="FFFFFF"/>
          </w:tcPr>
          <w:p>
            <w:pPr>
              <w:spacing w:after="0"/>
            </w:pPr>
            <w:r>
              <w:rPr>
                <w:color w:val="141E2D"/>
                <w:sz w:val="18"/>
              </w:rPr>
              <w:t>Computed</w:t>
            </w:r>
          </w:p>
        </w:tc>
        <w:tc>
          <w:tcPr>
            <w:tcW w:type="dxa" w:w="2340"/>
            <w:shd w:fill="FFFFFF"/>
          </w:tcPr>
          <w:p>
            <w:pPr>
              <w:spacing w:after="0"/>
            </w:pPr>
            <w:r>
              <w:rPr>
                <w:color w:val="141E2D"/>
                <w:sz w:val="18"/>
              </w:rPr>
              <w:t>Equals Sales Revenue on Mass Production and zero on Design Lost.</w:t>
            </w:r>
          </w:p>
        </w:tc>
      </w:tr>
      <w:tr>
        <w:tc>
          <w:tcPr>
            <w:tcW w:type="dxa" w:w="2340"/>
            <w:shd w:fill="FFFFFF"/>
          </w:tcPr>
          <w:p>
            <w:pPr>
              <w:spacing w:after="0"/>
            </w:pPr>
            <w:r>
              <w:rPr>
                <w:color w:val="141E2D"/>
                <w:sz w:val="18"/>
              </w:rPr>
              <w:t>R Comments</w:t>
            </w:r>
          </w:p>
        </w:tc>
        <w:tc>
          <w:tcPr>
            <w:tcW w:type="dxa" w:w="2340"/>
            <w:shd w:fill="FFFFFF"/>
          </w:tcPr>
          <w:p>
            <w:pPr>
              <w:spacing w:after="0"/>
            </w:pPr>
            <w:r>
              <w:rPr>
                <w:color w:val="141E2D"/>
                <w:sz w:val="18"/>
              </w:rPr>
              <w:t>Free text</w:t>
            </w:r>
          </w:p>
        </w:tc>
        <w:tc>
          <w:tcPr>
            <w:tcW w:type="dxa" w:w="2340"/>
            <w:shd w:fill="FFFFFF"/>
          </w:tcPr>
          <w:p>
            <w:pPr>
              <w:spacing w:after="0"/>
            </w:pPr>
            <w:r>
              <w:rPr>
                <w:color w:val="141E2D"/>
                <w:sz w:val="18"/>
              </w:rPr>
              <w:t>No</w:t>
            </w:r>
          </w:p>
        </w:tc>
        <w:tc>
          <w:tcPr>
            <w:tcW w:type="dxa" w:w="2340"/>
            <w:shd w:fill="FFFFFF"/>
          </w:tcPr>
          <w:p>
            <w:pPr>
              <w:spacing w:after="0"/>
            </w:pPr>
            <w:r>
              <w:rPr>
                <w:color w:val="141E2D"/>
                <w:sz w:val="18"/>
              </w:rPr>
              <w:t>On Design Lost this is where a reason currently would go, in prose, if anyone wrote one.</w:t>
            </w:r>
          </w:p>
        </w:tc>
      </w:tr>
      <w:tr>
        <w:tc>
          <w:tcPr>
            <w:tcW w:type="dxa" w:w="2340"/>
            <w:shd w:fill="FFFFFF"/>
          </w:tcPr>
          <w:p>
            <w:pPr>
              <w:spacing w:after="0"/>
            </w:pPr>
            <w:r>
              <w:rPr>
                <w:color w:val="141E2D"/>
                <w:sz w:val="18"/>
              </w:rPr>
              <w:t>Missing: loss reason code</w:t>
            </w:r>
          </w:p>
        </w:tc>
        <w:tc>
          <w:tcPr>
            <w:tcW w:type="dxa" w:w="2340"/>
            <w:shd w:fill="FFFFFF"/>
          </w:tcPr>
          <w:p>
            <w:pPr>
              <w:spacing w:after="0"/>
            </w:pPr>
            <w:r>
              <w:rPr>
                <w:color w:val="141E2D"/>
                <w:sz w:val="18"/>
              </w:rPr>
              <w:t>Does not exist</w:t>
            </w:r>
          </w:p>
        </w:tc>
        <w:tc>
          <w:tcPr>
            <w:tcW w:type="dxa" w:w="2340"/>
            <w:shd w:fill="FFFFFF"/>
          </w:tcPr>
          <w:p>
            <w:pPr>
              <w:spacing w:after="0"/>
            </w:pPr>
            <w:r>
              <w:rPr>
                <w:color w:val="141E2D"/>
                <w:sz w:val="18"/>
              </w:rPr>
              <w:t>No</w:t>
            </w:r>
          </w:p>
        </w:tc>
        <w:tc>
          <w:tcPr>
            <w:tcW w:type="dxa" w:w="2340"/>
            <w:shd w:fill="FFFFFF"/>
          </w:tcPr>
          <w:p>
            <w:pPr>
              <w:spacing w:after="0"/>
            </w:pPr>
            <w:r>
              <w:rPr>
                <w:color w:val="141E2D"/>
                <w:sz w:val="18"/>
              </w:rPr>
              <w:t>David confirmed it is required. It has to be captured at the moment of the move, because reconstructing why something was lost six months later does not work.</w:t>
            </w:r>
          </w:p>
        </w:tc>
      </w:tr>
    </w:tbl>
    <w:p/>
    <w:p>
      <w:pPr>
        <w:pStyle w:val="Heading1"/>
      </w:pPr>
      <w:r>
        <w:t>6. Sheet1</w:t>
      </w:r>
    </w:p>
    <w:p>
      <w:r>
        <w:rPr>
          <w:i w:val="0"/>
          <w:color w:val="141E2D"/>
          <w:sz w:val="21"/>
        </w:rPr>
        <w:t>Two rows, Projection and Stretch, split by quarter with a CY26 total. Projection reads 604, 1393, 2026, 2982. Stretch reads 603.49, 1393.49, 2269.86, 3469.36. Neither ties to any other tab by formula. David does not recognise them from the sheet he updated, so the agent does not read this tab at all.</w:t>
      </w:r>
    </w:p>
    <w:p>
      <w:pPr>
        <w:pStyle w:val="Heading1"/>
      </w:pPr>
      <w:r>
        <w:t>7. What the agent reads, writes and ignores</w:t>
      </w:r>
    </w:p>
    <w:tbl>
      <w:tblPr>
        <w:tblW w:type="auto" w:w="0"/>
        <w:jc w:val="center"/>
        <w:tblLayout w:type="fixed"/>
        <w:tblLook w:firstColumn="1" w:firstRow="1" w:lastColumn="0" w:lastRow="0" w:noHBand="0" w:noVBand="1" w:val="04A0"/>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3120"/>
        <w:gridCol w:w="3120"/>
        <w:gridCol w:w="3120"/>
      </w:tblGrid>
      <w:tr>
        <w:tc>
          <w:tcPr>
            <w:tcW w:type="dxa" w:w="2016"/>
            <w:vAlign w:val="center"/>
            <w:tcMar>
              <w:top w:w="80" w:type="dxa"/>
              <w:start w:w="120" w:type="dxa"/>
              <w:bottom w:w="80" w:type="dxa"/>
              <w:end w:w="120" w:type="dxa"/>
            </w:tcMar>
            <w:shd w:fill="E8EEF5"/>
          </w:tcPr>
          <w:p>
            <w:pPr>
              <w:spacing w:after="0"/>
            </w:pPr>
            <w:r>
              <w:rPr>
                <w:b/>
                <w:color w:val="141E2D"/>
                <w:sz w:val="19"/>
              </w:rPr>
              <w:t>Tab</w:t>
            </w:r>
          </w:p>
        </w:tc>
        <w:tc>
          <w:tcPr>
            <w:tcW w:type="dxa" w:w="3168"/>
            <w:vAlign w:val="center"/>
            <w:tcMar>
              <w:top w:w="80" w:type="dxa"/>
              <w:start w:w="120" w:type="dxa"/>
              <w:bottom w:w="80" w:type="dxa"/>
              <w:end w:w="120" w:type="dxa"/>
            </w:tcMar>
            <w:shd w:fill="E8EEF5"/>
          </w:tcPr>
          <w:p>
            <w:pPr>
              <w:spacing w:after="0"/>
            </w:pPr>
            <w:r>
              <w:rPr>
                <w:b/>
                <w:color w:val="141E2D"/>
                <w:sz w:val="19"/>
              </w:rPr>
              <w:t>Agent role</w:t>
            </w:r>
          </w:p>
        </w:tc>
        <w:tc>
          <w:tcPr>
            <w:tcW w:type="dxa" w:w="4176"/>
            <w:vAlign w:val="center"/>
            <w:tcMar>
              <w:top w:w="80" w:type="dxa"/>
              <w:start w:w="120" w:type="dxa"/>
              <w:bottom w:w="80" w:type="dxa"/>
              <w:end w:w="120" w:type="dxa"/>
            </w:tcMar>
            <w:shd w:fill="E8EEF5"/>
          </w:tcPr>
          <w:p>
            <w:pPr>
              <w:spacing w:after="0"/>
            </w:pPr>
            <w:r>
              <w:rPr>
                <w:b/>
                <w:color w:val="141E2D"/>
                <w:sz w:val="19"/>
              </w:rPr>
              <w:t>What it produces</w:t>
            </w:r>
          </w:p>
        </w:tc>
      </w:tr>
      <w:tr>
        <w:tc>
          <w:tcPr>
            <w:tcW w:type="dxa" w:w="3120"/>
            <w:shd w:fill="FFFFFF"/>
          </w:tcPr>
          <w:p>
            <w:pPr>
              <w:spacing w:after="0"/>
            </w:pPr>
            <w:r>
              <w:rPr>
                <w:color w:val="141E2D"/>
                <w:sz w:val="18"/>
              </w:rPr>
              <w:t>ProjectTrack</w:t>
            </w:r>
          </w:p>
        </w:tc>
        <w:tc>
          <w:tcPr>
            <w:tcW w:type="dxa" w:w="3120"/>
            <w:shd w:fill="FFFFFF"/>
          </w:tcPr>
          <w:p>
            <w:pPr>
              <w:spacing w:after="0"/>
            </w:pPr>
            <w:r>
              <w:rPr>
                <w:color w:val="141E2D"/>
                <w:sz w:val="18"/>
              </w:rPr>
              <w:t>Read all, write Confidence and state changes</w:t>
            </w:r>
          </w:p>
        </w:tc>
        <w:tc>
          <w:tcPr>
            <w:tcW w:type="dxa" w:w="3120"/>
            <w:shd w:fill="FFFFFF"/>
          </w:tcPr>
          <w:p>
            <w:pPr>
              <w:spacing w:after="0"/>
            </w:pPr>
            <w:r>
              <w:rPr>
                <w:color w:val="141E2D"/>
                <w:sz w:val="18"/>
              </w:rPr>
              <w:t>Weighted pipeline, confidence proposals with citations, contradiction findings.</w:t>
            </w:r>
          </w:p>
        </w:tc>
      </w:tr>
      <w:tr>
        <w:tc>
          <w:tcPr>
            <w:tcW w:type="dxa" w:w="3120"/>
            <w:shd w:fill="FFFFFF"/>
          </w:tcPr>
          <w:p>
            <w:pPr>
              <w:spacing w:after="0"/>
            </w:pPr>
            <w:r>
              <w:rPr>
                <w:color w:val="141E2D"/>
                <w:sz w:val="18"/>
              </w:rPr>
              <w:t>Funnel</w:t>
            </w:r>
          </w:p>
        </w:tc>
        <w:tc>
          <w:tcPr>
            <w:tcW w:type="dxa" w:w="3120"/>
            <w:shd w:fill="FFFFFF"/>
          </w:tcPr>
          <w:p>
            <w:pPr>
              <w:spacing w:after="0"/>
            </w:pPr>
            <w:r>
              <w:rPr>
                <w:color w:val="141E2D"/>
                <w:sz w:val="18"/>
              </w:rPr>
              <w:t>Read and validate only</w:t>
            </w:r>
          </w:p>
        </w:tc>
        <w:tc>
          <w:tcPr>
            <w:tcW w:type="dxa" w:w="3120"/>
            <w:shd w:fill="FFFFFF"/>
          </w:tcPr>
          <w:p>
            <w:pPr>
              <w:spacing w:after="0"/>
            </w:pPr>
            <w:r>
              <w:rPr>
                <w:color w:val="141E2D"/>
                <w:sz w:val="18"/>
              </w:rPr>
              <w:t>Data-quality findings, milestone and stall flags, competitor intelligence. No confidence until the Stage question is settled.</w:t>
            </w:r>
          </w:p>
        </w:tc>
      </w:tr>
      <w:tr>
        <w:tc>
          <w:tcPr>
            <w:tcW w:type="dxa" w:w="3120"/>
            <w:shd w:fill="FFFFFF"/>
          </w:tcPr>
          <w:p>
            <w:pPr>
              <w:spacing w:after="0"/>
            </w:pPr>
            <w:r>
              <w:rPr>
                <w:color w:val="141E2D"/>
                <w:sz w:val="18"/>
              </w:rPr>
              <w:t>Mass Production</w:t>
            </w:r>
          </w:p>
        </w:tc>
        <w:tc>
          <w:tcPr>
            <w:tcW w:type="dxa" w:w="3120"/>
            <w:shd w:fill="FFFFFF"/>
          </w:tcPr>
          <w:p>
            <w:pPr>
              <w:spacing w:after="0"/>
            </w:pPr>
            <w:r>
              <w:rPr>
                <w:color w:val="141E2D"/>
                <w:sz w:val="18"/>
              </w:rPr>
              <w:t>Read, and write records into it on resolution</w:t>
            </w:r>
          </w:p>
        </w:tc>
        <w:tc>
          <w:tcPr>
            <w:tcW w:type="dxa" w:w="3120"/>
            <w:shd w:fill="FFFFFF"/>
          </w:tcPr>
          <w:p>
            <w:pPr>
              <w:spacing w:after="0"/>
            </w:pPr>
            <w:r>
              <w:rPr>
                <w:color w:val="141E2D"/>
                <w:sz w:val="18"/>
              </w:rPr>
              <w:t>Won outcomes, the positive labels for future calibration.</w:t>
            </w:r>
          </w:p>
        </w:tc>
      </w:tr>
      <w:tr>
        <w:tc>
          <w:tcPr>
            <w:tcW w:type="dxa" w:w="3120"/>
            <w:shd w:fill="FFFFFF"/>
          </w:tcPr>
          <w:p>
            <w:pPr>
              <w:spacing w:after="0"/>
            </w:pPr>
            <w:r>
              <w:rPr>
                <w:color w:val="141E2D"/>
                <w:sz w:val="18"/>
              </w:rPr>
              <w:t>Design Lost</w:t>
            </w:r>
          </w:p>
        </w:tc>
        <w:tc>
          <w:tcPr>
            <w:tcW w:type="dxa" w:w="3120"/>
            <w:shd w:fill="FFFFFF"/>
          </w:tcPr>
          <w:p>
            <w:pPr>
              <w:spacing w:after="0"/>
            </w:pPr>
            <w:r>
              <w:rPr>
                <w:color w:val="141E2D"/>
                <w:sz w:val="18"/>
              </w:rPr>
              <w:t>Read, and write records into it with a mandatory reason code</w:t>
            </w:r>
          </w:p>
        </w:tc>
        <w:tc>
          <w:tcPr>
            <w:tcW w:type="dxa" w:w="3120"/>
            <w:shd w:fill="FFFFFF"/>
          </w:tcPr>
          <w:p>
            <w:pPr>
              <w:spacing w:after="0"/>
            </w:pPr>
            <w:r>
              <w:rPr>
                <w:color w:val="141E2D"/>
                <w:sz w:val="18"/>
              </w:rPr>
              <w:t>Lost outcomes and loss reasons, the training signal that matters most.</w:t>
            </w:r>
          </w:p>
        </w:tc>
      </w:tr>
      <w:tr>
        <w:tc>
          <w:tcPr>
            <w:tcW w:type="dxa" w:w="3120"/>
            <w:shd w:fill="FFFFFF"/>
          </w:tcPr>
          <w:p>
            <w:pPr>
              <w:spacing w:after="0"/>
            </w:pPr>
            <w:r>
              <w:rPr>
                <w:color w:val="141E2D"/>
                <w:sz w:val="18"/>
              </w:rPr>
              <w:t>FCST_Revenue</w:t>
            </w:r>
          </w:p>
        </w:tc>
        <w:tc>
          <w:tcPr>
            <w:tcW w:type="dxa" w:w="3120"/>
            <w:shd w:fill="FFFFFF"/>
          </w:tcPr>
          <w:p>
            <w:pPr>
              <w:spacing w:after="0"/>
            </w:pPr>
            <w:r>
              <w:rPr>
                <w:color w:val="141E2D"/>
                <w:sz w:val="18"/>
              </w:rPr>
              <w:t>Neither read nor write</w:t>
            </w:r>
          </w:p>
        </w:tc>
        <w:tc>
          <w:tcPr>
            <w:tcW w:type="dxa" w:w="3120"/>
            <w:shd w:fill="FFFFFF"/>
          </w:tcPr>
          <w:p>
            <w:pPr>
              <w:spacing w:after="0"/>
            </w:pPr>
            <w:r>
              <w:rPr>
                <w:color w:val="141E2D"/>
                <w:sz w:val="18"/>
              </w:rPr>
              <w:t>Replaced by an outbound feed to the finance forecasting agent, by region and quarter.</w:t>
            </w:r>
          </w:p>
        </w:tc>
      </w:tr>
      <w:tr>
        <w:tc>
          <w:tcPr>
            <w:tcW w:type="dxa" w:w="3120"/>
            <w:shd w:fill="FFFFFF"/>
          </w:tcPr>
          <w:p>
            <w:pPr>
              <w:spacing w:after="0"/>
            </w:pPr>
            <w:r>
              <w:rPr>
                <w:color w:val="141E2D"/>
                <w:sz w:val="18"/>
              </w:rPr>
              <w:t>Sheet1</w:t>
            </w:r>
          </w:p>
        </w:tc>
        <w:tc>
          <w:tcPr>
            <w:tcW w:type="dxa" w:w="3120"/>
            <w:shd w:fill="FFFFFF"/>
          </w:tcPr>
          <w:p>
            <w:pPr>
              <w:spacing w:after="0"/>
            </w:pPr>
            <w:r>
              <w:rPr>
                <w:color w:val="141E2D"/>
                <w:sz w:val="18"/>
              </w:rPr>
              <w:t>Ignored</w:t>
            </w:r>
          </w:p>
        </w:tc>
        <w:tc>
          <w:tcPr>
            <w:tcW w:type="dxa" w:w="3120"/>
            <w:shd w:fill="FFFFFF"/>
          </w:tcPr>
          <w:p>
            <w:pPr>
              <w:spacing w:after="0"/>
            </w:pPr>
            <w:r>
              <w:rPr>
                <w:color w:val="141E2D"/>
                <w:sz w:val="18"/>
              </w:rPr>
              <w:t>Nothing.</w:t>
            </w:r>
          </w:p>
        </w:tc>
      </w:tr>
    </w:tbl>
    <w:p/>
    <w:p>
      <w:pPr>
        <w:pStyle w:val="Heading1"/>
      </w:pPr>
      <w:r>
        <w:t>8. Normalisation the reader has to do first</w:t>
      </w:r>
    </w:p>
    <w:p>
      <w:r>
        <w:rPr>
          <w:i w:val="0"/>
          <w:color w:val="141E2D"/>
          <w:sz w:val="21"/>
        </w:rPr>
        <w:t>None of these are optional. Every one of them produces a wrong total rather than an error if it is skipped.</w:t>
      </w:r>
    </w:p>
    <w:tbl>
      <w:tblPr>
        <w:tblW w:type="auto" w:w="0"/>
        <w:jc w:val="center"/>
        <w:tblLayout w:type="fixed"/>
        <w:tblLook w:firstColumn="1" w:firstRow="1" w:lastColumn="0" w:lastRow="0" w:noHBand="0" w:noVBand="1" w:val="04A0"/>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3120"/>
        <w:gridCol w:w="3120"/>
        <w:gridCol w:w="3120"/>
      </w:tblGrid>
      <w:tr>
        <w:tc>
          <w:tcPr>
            <w:tcW w:type="dxa" w:w="1584"/>
            <w:vAlign w:val="center"/>
            <w:tcMar>
              <w:top w:w="80" w:type="dxa"/>
              <w:start w:w="120" w:type="dxa"/>
              <w:bottom w:w="80" w:type="dxa"/>
              <w:end w:w="120" w:type="dxa"/>
            </w:tcMar>
            <w:shd w:fill="FBE9E9"/>
          </w:tcPr>
          <w:p>
            <w:pPr>
              <w:spacing w:after="0"/>
            </w:pPr>
            <w:r>
              <w:rPr>
                <w:b/>
                <w:color w:val="141E2D"/>
                <w:sz w:val="19"/>
              </w:rPr>
              <w:t>Field</w:t>
            </w:r>
          </w:p>
        </w:tc>
        <w:tc>
          <w:tcPr>
            <w:tcW w:type="dxa" w:w="3600"/>
            <w:vAlign w:val="center"/>
            <w:tcMar>
              <w:top w:w="80" w:type="dxa"/>
              <w:start w:w="120" w:type="dxa"/>
              <w:bottom w:w="80" w:type="dxa"/>
              <w:end w:w="120" w:type="dxa"/>
            </w:tcMar>
            <w:shd w:fill="FBE9E9"/>
          </w:tcPr>
          <w:p>
            <w:pPr>
              <w:spacing w:after="0"/>
            </w:pPr>
            <w:r>
              <w:rPr>
                <w:b/>
                <w:color w:val="141E2D"/>
                <w:sz w:val="19"/>
              </w:rPr>
              <w:t>Values in the file</w:t>
            </w:r>
          </w:p>
        </w:tc>
        <w:tc>
          <w:tcPr>
            <w:tcW w:type="dxa" w:w="4176"/>
            <w:vAlign w:val="center"/>
            <w:tcMar>
              <w:top w:w="80" w:type="dxa"/>
              <w:start w:w="120" w:type="dxa"/>
              <w:bottom w:w="80" w:type="dxa"/>
              <w:end w:w="120" w:type="dxa"/>
            </w:tcMar>
            <w:shd w:fill="FBE9E9"/>
          </w:tcPr>
          <w:p>
            <w:pPr>
              <w:spacing w:after="0"/>
            </w:pPr>
            <w:r>
              <w:rPr>
                <w:b/>
                <w:color w:val="141E2D"/>
                <w:sz w:val="19"/>
              </w:rPr>
              <w:t>Canonical form</w:t>
            </w:r>
          </w:p>
        </w:tc>
      </w:tr>
      <w:tr>
        <w:tc>
          <w:tcPr>
            <w:tcW w:type="dxa" w:w="3120"/>
            <w:shd w:fill="FFFFFF"/>
          </w:tcPr>
          <w:p>
            <w:pPr>
              <w:spacing w:after="0"/>
            </w:pPr>
            <w:r>
              <w:rPr>
                <w:color w:val="141E2D"/>
                <w:sz w:val="18"/>
              </w:rPr>
              <w:t>Region</w:t>
            </w:r>
          </w:p>
        </w:tc>
        <w:tc>
          <w:tcPr>
            <w:tcW w:type="dxa" w:w="3120"/>
            <w:shd w:fill="FFFFFF"/>
          </w:tcPr>
          <w:p>
            <w:pPr>
              <w:spacing w:after="0"/>
            </w:pPr>
            <w:r>
              <w:rPr>
                <w:color w:val="141E2D"/>
                <w:sz w:val="18"/>
              </w:rPr>
              <w:t>KR, Korea, EU, Taiwan, Japan, North America</w:t>
            </w:r>
          </w:p>
        </w:tc>
        <w:tc>
          <w:tcPr>
            <w:tcW w:type="dxa" w:w="3120"/>
            <w:shd w:fill="FFFFFF"/>
          </w:tcPr>
          <w:p>
            <w:pPr>
              <w:spacing w:after="0"/>
            </w:pPr>
            <w:r>
              <w:rPr>
                <w:color w:val="141E2D"/>
                <w:sz w:val="18"/>
              </w:rPr>
              <w:t>Korea, Europe, Taiwan, Japan, India, US, Other. Confirm whether North America becomes US.</w:t>
            </w:r>
          </w:p>
        </w:tc>
      </w:tr>
      <w:tr>
        <w:tc>
          <w:tcPr>
            <w:tcW w:type="dxa" w:w="3120"/>
            <w:shd w:fill="FFFFFF"/>
          </w:tcPr>
          <w:p>
            <w:pPr>
              <w:spacing w:after="0"/>
            </w:pPr>
            <w:r>
              <w:rPr>
                <w:color w:val="141E2D"/>
                <w:sz w:val="18"/>
              </w:rPr>
              <w:t>Design Status</w:t>
            </w:r>
          </w:p>
        </w:tc>
        <w:tc>
          <w:tcPr>
            <w:tcW w:type="dxa" w:w="3120"/>
            <w:shd w:fill="FFFFFF"/>
          </w:tcPr>
          <w:p>
            <w:pPr>
              <w:spacing w:after="0"/>
            </w:pPr>
            <w:r>
              <w:rPr>
                <w:color w:val="141E2D"/>
                <w:sz w:val="18"/>
              </w:rPr>
              <w:t>M/P, D-IN, Design Win, Design In, Sample, Promotion, Evaluation, Lost, Mass Production, NRE, TBD</w:t>
            </w:r>
          </w:p>
        </w:tc>
        <w:tc>
          <w:tcPr>
            <w:tcW w:type="dxa" w:w="3120"/>
            <w:shd w:fill="FFFFFF"/>
          </w:tcPr>
          <w:p>
            <w:pPr>
              <w:spacing w:after="0"/>
            </w:pPr>
            <w:r>
              <w:rPr>
                <w:color w:val="141E2D"/>
                <w:sz w:val="18"/>
              </w:rPr>
              <w:t>One enum across all tabs. NRE and TBD are not statuses and need their own handling.</w:t>
            </w:r>
          </w:p>
        </w:tc>
      </w:tr>
      <w:tr>
        <w:tc>
          <w:tcPr>
            <w:tcW w:type="dxa" w:w="3120"/>
            <w:shd w:fill="FFFFFF"/>
          </w:tcPr>
          <w:p>
            <w:pPr>
              <w:spacing w:after="0"/>
            </w:pPr>
            <w:r>
              <w:rPr>
                <w:color w:val="141E2D"/>
                <w:sz w:val="18"/>
              </w:rPr>
              <w:t>Customer</w:t>
            </w:r>
          </w:p>
        </w:tc>
        <w:tc>
          <w:tcPr>
            <w:tcW w:type="dxa" w:w="3120"/>
            <w:shd w:fill="FFFFFF"/>
          </w:tcPr>
          <w:p>
            <w:pPr>
              <w:spacing w:after="0"/>
            </w:pPr>
            <w:r>
              <w:rPr>
                <w:color w:val="141E2D"/>
                <w:sz w:val="18"/>
              </w:rPr>
              <w:t>MOBIS and Mobis, SLM, Flextron</w:t>
            </w:r>
          </w:p>
        </w:tc>
        <w:tc>
          <w:tcPr>
            <w:tcW w:type="dxa" w:w="3120"/>
            <w:shd w:fill="FFFFFF"/>
          </w:tcPr>
          <w:p>
            <w:pPr>
              <w:spacing w:after="0"/>
            </w:pPr>
            <w:r>
              <w:rPr>
                <w:color w:val="141E2D"/>
                <w:sz w:val="18"/>
              </w:rPr>
              <w:t>Case-insensitive match, one canonical spelling per account.</w:t>
            </w:r>
          </w:p>
        </w:tc>
      </w:tr>
      <w:tr>
        <w:tc>
          <w:tcPr>
            <w:tcW w:type="dxa" w:w="3120"/>
            <w:shd w:fill="FFFFFF"/>
          </w:tcPr>
          <w:p>
            <w:pPr>
              <w:spacing w:after="0"/>
            </w:pPr>
            <w:r>
              <w:rPr>
                <w:color w:val="141E2D"/>
                <w:sz w:val="18"/>
              </w:rPr>
              <w:t>Dates</w:t>
            </w:r>
          </w:p>
        </w:tc>
        <w:tc>
          <w:tcPr>
            <w:tcW w:type="dxa" w:w="3120"/>
            <w:shd w:fill="FFFFFF"/>
          </w:tcPr>
          <w:p>
            <w:pPr>
              <w:spacing w:after="0"/>
            </w:pPr>
            <w:r>
              <w:rPr>
                <w:color w:val="141E2D"/>
                <w:sz w:val="18"/>
              </w:rPr>
              <w:t>Dec'24, June'27, Sop'26, N/A, TBD</w:t>
            </w:r>
          </w:p>
        </w:tc>
        <w:tc>
          <w:tcPr>
            <w:tcW w:type="dxa" w:w="3120"/>
            <w:shd w:fill="FFFFFF"/>
          </w:tcPr>
          <w:p>
            <w:pPr>
              <w:spacing w:after="0"/>
            </w:pPr>
            <w:r>
              <w:rPr>
                <w:color w:val="141E2D"/>
                <w:sz w:val="18"/>
              </w:rPr>
              <w:t>Real dates. Note the typo in Sop'26 and that two rows use non-date words.</w:t>
            </w:r>
          </w:p>
        </w:tc>
      </w:tr>
      <w:tr>
        <w:tc>
          <w:tcPr>
            <w:tcW w:type="dxa" w:w="3120"/>
            <w:shd w:fill="FFFFFF"/>
          </w:tcPr>
          <w:p>
            <w:pPr>
              <w:spacing w:after="0"/>
            </w:pPr>
            <w:r>
              <w:rPr>
                <w:color w:val="141E2D"/>
                <w:sz w:val="18"/>
              </w:rPr>
              <w:t>Numerics</w:t>
            </w:r>
          </w:p>
        </w:tc>
        <w:tc>
          <w:tcPr>
            <w:tcW w:type="dxa" w:w="3120"/>
            <w:shd w:fill="FFFFFF"/>
          </w:tcPr>
          <w:p>
            <w:pPr>
              <w:spacing w:after="0"/>
            </w:pPr>
            <w:r>
              <w:rPr>
                <w:color w:val="141E2D"/>
                <w:sz w:val="18"/>
              </w:rPr>
              <w:t>TBD in EAU, Unit/Set and both ASP columns</w:t>
            </w:r>
          </w:p>
        </w:tc>
        <w:tc>
          <w:tcPr>
            <w:tcW w:type="dxa" w:w="3120"/>
            <w:shd w:fill="FFFFFF"/>
          </w:tcPr>
          <w:p>
            <w:pPr>
              <w:spacing w:after="0"/>
            </w:pPr>
            <w:r>
              <w:rPr>
                <w:color w:val="141E2D"/>
                <w:sz w:val="18"/>
              </w:rPr>
              <w:t>Null, plus a finding. Never zero, which would silently drag a regional average down.</w:t>
            </w:r>
          </w:p>
        </w:tc>
      </w:tr>
      <w:tr>
        <w:tc>
          <w:tcPr>
            <w:tcW w:type="dxa" w:w="3120"/>
            <w:shd w:fill="FFFFFF"/>
          </w:tcPr>
          <w:p>
            <w:pPr>
              <w:spacing w:after="0"/>
            </w:pPr>
            <w:r>
              <w:rPr>
                <w:color w:val="141E2D"/>
                <w:sz w:val="18"/>
              </w:rPr>
              <w:t>Competitor Part#</w:t>
            </w:r>
          </w:p>
        </w:tc>
        <w:tc>
          <w:tcPr>
            <w:tcW w:type="dxa" w:w="3120"/>
            <w:shd w:fill="FFFFFF"/>
          </w:tcPr>
          <w:p>
            <w:pPr>
              <w:spacing w:after="0"/>
            </w:pPr>
            <w:r>
              <w:rPr>
                <w:color w:val="141E2D"/>
                <w:sz w:val="18"/>
              </w:rPr>
              <w:t>Two parts in one cell, separated by a line break</w:t>
            </w:r>
          </w:p>
        </w:tc>
        <w:tc>
          <w:tcPr>
            <w:tcW w:type="dxa" w:w="3120"/>
            <w:shd w:fill="FFFFFF"/>
          </w:tcPr>
          <w:p>
            <w:pPr>
              <w:spacing w:after="0"/>
            </w:pPr>
            <w:r>
              <w:rPr>
                <w:color w:val="141E2D"/>
                <w:sz w:val="18"/>
              </w:rPr>
              <w:t>A list, not a string.</w:t>
            </w:r>
          </w:p>
        </w:tc>
      </w:tr>
      <w:tr>
        <w:tc>
          <w:tcPr>
            <w:tcW w:type="dxa" w:w="3120"/>
            <w:shd w:fill="FFFFFF"/>
          </w:tcPr>
          <w:p>
            <w:pPr>
              <w:spacing w:after="0"/>
            </w:pPr>
            <w:r>
              <w:rPr>
                <w:color w:val="141E2D"/>
                <w:sz w:val="18"/>
              </w:rPr>
              <w:t>Column position</w:t>
            </w:r>
          </w:p>
        </w:tc>
        <w:tc>
          <w:tcPr>
            <w:tcW w:type="dxa" w:w="3120"/>
            <w:shd w:fill="FFFFFF"/>
          </w:tcPr>
          <w:p>
            <w:pPr>
              <w:spacing w:after="0"/>
            </w:pPr>
            <w:r>
              <w:rPr>
                <w:color w:val="141E2D"/>
                <w:sz w:val="18"/>
              </w:rPr>
              <w:t>Same field sits at different letters per tab</w:t>
            </w:r>
          </w:p>
        </w:tc>
        <w:tc>
          <w:tcPr>
            <w:tcW w:type="dxa" w:w="3120"/>
            <w:shd w:fill="FFFFFF"/>
          </w:tcPr>
          <w:p>
            <w:pPr>
              <w:spacing w:after="0"/>
            </w:pPr>
            <w:r>
              <w:rPr>
                <w:color w:val="141E2D"/>
                <w:sz w:val="18"/>
              </w:rPr>
              <w:t>Map by header name. Position-based reading breaks between ProjectTrack and the terminal tabs.</w:t>
            </w:r>
          </w:p>
        </w:tc>
      </w:tr>
    </w:tbl>
    <w:p/>
    <w:p>
      <w:pPr>
        <w:pStyle w:val="Heading1"/>
      </w:pPr>
      <w:r>
        <w:t>9. Found while mapping, not yet in the question list</w:t>
      </w:r>
    </w:p>
    <w:p>
      <w:r>
        <w:rPr>
          <w:i w:val="0"/>
          <w:color w:val="141E2D"/>
          <w:sz w:val="21"/>
        </w:rPr>
        <w:t>These came out of reading the workbook cell by cell and are not in the Rev 02 open questions document. All five need an answer from David.</w:t>
      </w:r>
    </w:p>
    <w:tbl>
      <w:tblPr>
        <w:tblW w:type="auto" w:w="0"/>
        <w:jc w:val="center"/>
        <w:tblLayout w:type="fixed"/>
        <w:tblLook w:firstColumn="1" w:firstRow="1" w:lastColumn="0" w:lastRow="0" w:noHBand="0" w:noVBand="1" w:val="04A0"/>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4680"/>
        <w:gridCol w:w="4680"/>
      </w:tblGrid>
      <w:tr>
        <w:tc>
          <w:tcPr>
            <w:tcW w:type="dxa" w:w="2736"/>
            <w:vAlign w:val="center"/>
            <w:tcMar>
              <w:top w:w="80" w:type="dxa"/>
              <w:start w:w="120" w:type="dxa"/>
              <w:bottom w:w="80" w:type="dxa"/>
              <w:end w:w="120" w:type="dxa"/>
            </w:tcMar>
            <w:shd w:fill="FBE9E9"/>
          </w:tcPr>
          <w:p>
            <w:pPr>
              <w:spacing w:after="0"/>
            </w:pPr>
            <w:r>
              <w:rPr>
                <w:b/>
                <w:color w:val="141E2D"/>
                <w:sz w:val="19"/>
              </w:rPr>
              <w:t>Finding</w:t>
            </w:r>
          </w:p>
        </w:tc>
        <w:tc>
          <w:tcPr>
            <w:tcW w:type="dxa" w:w="6624"/>
            <w:vAlign w:val="center"/>
            <w:tcMar>
              <w:top w:w="80" w:type="dxa"/>
              <w:start w:w="120" w:type="dxa"/>
              <w:bottom w:w="80" w:type="dxa"/>
              <w:end w:w="120" w:type="dxa"/>
            </w:tcMar>
            <w:shd w:fill="FBE9E9"/>
          </w:tcPr>
          <w:p>
            <w:pPr>
              <w:spacing w:after="0"/>
            </w:pPr>
            <w:r>
              <w:rPr>
                <w:b/>
                <w:color w:val="141E2D"/>
                <w:sz w:val="19"/>
              </w:rPr>
              <w:t>Why it needs an answer</w:t>
            </w:r>
          </w:p>
        </w:tc>
      </w:tr>
      <w:tr>
        <w:tc>
          <w:tcPr>
            <w:tcW w:type="dxa" w:w="4680"/>
            <w:shd w:fill="FFFFFF"/>
          </w:tcPr>
          <w:p>
            <w:pPr>
              <w:spacing w:after="0"/>
            </w:pPr>
            <w:r>
              <w:rPr>
                <w:color w:val="141E2D"/>
                <w:sz w:val="18"/>
              </w:rPr>
              <w:t>NRE and licence revenue exists as a separate revenue type</w:t>
            </w:r>
          </w:p>
        </w:tc>
        <w:tc>
          <w:tcPr>
            <w:tcW w:type="dxa" w:w="4680"/>
            <w:shd w:fill="FFFFFF"/>
          </w:tcPr>
          <w:p>
            <w:pPr>
              <w:spacing w:after="0"/>
            </w:pPr>
            <w:r>
              <w:rPr>
                <w:color w:val="141E2D"/>
                <w:sz w:val="18"/>
              </w:rPr>
              <w:t>Seven rows on FCST_Revenue book engineering charges and design-tool licences by setting ASP to 1 and putting dollars in the unit column. It is real revenue with no volume, no confidence and no stage, and the agent has no representation for it.</w:t>
            </w:r>
          </w:p>
        </w:tc>
      </w:tr>
      <w:tr>
        <w:tc>
          <w:tcPr>
            <w:tcW w:type="dxa" w:w="4680"/>
            <w:shd w:fill="FFFFFF"/>
          </w:tcPr>
          <w:p>
            <w:pPr>
              <w:spacing w:after="0"/>
            </w:pPr>
            <w:r>
              <w:rPr>
                <w:color w:val="141E2D"/>
                <w:sz w:val="18"/>
              </w:rPr>
              <w:t>Funnel EAU and FCST_Revenue EAU disagree for the same part</w:t>
            </w:r>
          </w:p>
        </w:tc>
        <w:tc>
          <w:tcPr>
            <w:tcW w:type="dxa" w:w="4680"/>
            <w:shd w:fill="FFFFFF"/>
          </w:tcPr>
          <w:p>
            <w:pPr>
              <w:spacing w:after="0"/>
            </w:pPr>
            <w:r>
              <w:rPr>
                <w:color w:val="141E2D"/>
                <w:sz w:val="18"/>
              </w:rPr>
              <w:t>ID801 is 57,175 Kpcs on Funnel and about 5,200 Kpcs across its two programme rows on FCST_Revenue. Either they are different bases, lifetime against annual, or one is wrong. Every volume-derived figure depends on knowing which.</w:t>
            </w:r>
          </w:p>
        </w:tc>
      </w:tr>
      <w:tr>
        <w:tc>
          <w:tcPr>
            <w:tcW w:type="dxa" w:w="4680"/>
            <w:shd w:fill="FFFFFF"/>
          </w:tcPr>
          <w:p>
            <w:pPr>
              <w:spacing w:after="0"/>
            </w:pPr>
            <w:r>
              <w:rPr>
                <w:color w:val="141E2D"/>
                <w:sz w:val="18"/>
              </w:rPr>
              <w:t>The Funnel FCST column</w:t>
            </w:r>
          </w:p>
        </w:tc>
        <w:tc>
          <w:tcPr>
            <w:tcW w:type="dxa" w:w="4680"/>
            <w:shd w:fill="FFFFFF"/>
          </w:tcPr>
          <w:p>
            <w:pPr>
              <w:spacing w:after="0"/>
            </w:pPr>
            <w:r>
              <w:rPr>
                <w:color w:val="141E2D"/>
                <w:sz w:val="18"/>
              </w:rPr>
              <w:t>Holds 1 or 2, is referenced by nothing, and has never been asked about.</w:t>
            </w:r>
          </w:p>
        </w:tc>
      </w:tr>
      <w:tr>
        <w:tc>
          <w:tcPr>
            <w:tcW w:type="dxa" w:w="4680"/>
            <w:shd w:fill="FFFFFF"/>
          </w:tcPr>
          <w:p>
            <w:pPr>
              <w:spacing w:after="0"/>
            </w:pPr>
            <w:r>
              <w:rPr>
                <w:color w:val="141E2D"/>
                <w:sz w:val="18"/>
              </w:rPr>
              <w:t>One Funnel row can hold two states at once</w:t>
            </w:r>
          </w:p>
        </w:tc>
        <w:tc>
          <w:tcPr>
            <w:tcW w:type="dxa" w:w="4680"/>
            <w:shd w:fill="FFFFFF"/>
          </w:tcPr>
          <w:p>
            <w:pPr>
              <w:spacing w:after="0"/>
            </w:pPr>
            <w:r>
              <w:rPr>
                <w:color w:val="141E2D"/>
                <w:sz w:val="18"/>
              </w:rPr>
              <w:t>The ID801 note reads design win for TK1 and design in for NX5. A single row cannot carry two states, which suggests Funnel rows are per part and per customer while the real opportunity is per vehicle programme.</w:t>
            </w:r>
          </w:p>
        </w:tc>
      </w:tr>
      <w:tr>
        <w:tc>
          <w:tcPr>
            <w:tcW w:type="dxa" w:w="4680"/>
            <w:shd w:fill="FFFFFF"/>
          </w:tcPr>
          <w:p>
            <w:pPr>
              <w:spacing w:after="0"/>
            </w:pPr>
            <w:r>
              <w:rPr>
                <w:color w:val="141E2D"/>
                <w:sz w:val="18"/>
              </w:rPr>
              <w:t>Disty ASP is sometimes derived as Resale times 0.975</w:t>
            </w:r>
          </w:p>
        </w:tc>
        <w:tc>
          <w:tcPr>
            <w:tcW w:type="dxa" w:w="4680"/>
            <w:shd w:fill="FFFFFF"/>
          </w:tcPr>
          <w:p>
            <w:pPr>
              <w:spacing w:after="0"/>
            </w:pPr>
            <w:r>
              <w:rPr>
                <w:color w:val="141E2D"/>
                <w:sz w:val="18"/>
              </w:rPr>
              <w:t>Three Funnel rows compute it, the rest are typed in. If the 2.5 percent channel margin is a standing rule it should be applied consistently and validated, not left per row.</w:t>
            </w:r>
          </w:p>
        </w:tc>
      </w:tr>
    </w:tbl>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