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639" w:rsidRDefault="00DD0C8F">
      <w:r>
        <w:t>Lab 5: t test for difference of means</w:t>
      </w:r>
    </w:p>
    <w:p w:rsidR="00DD0C8F" w:rsidRDefault="00DD0C8F"/>
    <w:p w:rsidR="00DD0C8F" w:rsidRPr="00DD0C8F" w:rsidRDefault="00DD0C8F" w:rsidP="00DD0C8F">
      <w:pPr>
        <w:shd w:val="clear" w:color="auto" w:fill="FFFFFF"/>
        <w:spacing w:after="0" w:line="240" w:lineRule="auto"/>
        <w:rPr>
          <w:rFonts w:ascii="Segoe UI Semibold" w:eastAsia="Times New Roman" w:hAnsi="Segoe UI Semibold" w:cs="Segoe UI Semibold"/>
          <w:color w:val="004D72"/>
          <w:sz w:val="32"/>
          <w:szCs w:val="32"/>
        </w:rPr>
      </w:pPr>
      <w:r w:rsidRPr="00DD0C8F">
        <w:rPr>
          <w:rFonts w:ascii="Segoe UI Semibold" w:eastAsia="Times New Roman" w:hAnsi="Segoe UI Semibold" w:cs="Segoe UI Semibold"/>
          <w:color w:val="004D72"/>
          <w:sz w:val="32"/>
          <w:szCs w:val="32"/>
        </w:rPr>
        <w:t>Two-Sample T-Test and CI: New Machine, Old Machine</w:t>
      </w: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Method</w:t>
      </w:r>
    </w:p>
    <w:tbl>
      <w:tblPr>
        <w:tblW w:w="0" w:type="auto"/>
        <w:tblCellMar>
          <w:top w:w="15" w:type="dxa"/>
          <w:left w:w="15" w:type="dxa"/>
          <w:bottom w:w="15" w:type="dxa"/>
          <w:right w:w="15" w:type="dxa"/>
        </w:tblCellMar>
        <w:tblLook w:val="04A0" w:firstRow="1" w:lastRow="0" w:firstColumn="1" w:lastColumn="0" w:noHBand="0" w:noVBand="1"/>
      </w:tblPr>
      <w:tblGrid>
        <w:gridCol w:w="2482"/>
      </w:tblGrid>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μ₁: mean of New Machine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µ₂: mean of Old Machine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Difference: μ₁ - µ₂</w:t>
            </w:r>
          </w:p>
        </w:tc>
      </w:tr>
    </w:tbl>
    <w:p w:rsidR="00DD0C8F" w:rsidRPr="00DD0C8F" w:rsidRDefault="00DD0C8F" w:rsidP="00DD0C8F">
      <w:pPr>
        <w:shd w:val="clear" w:color="auto" w:fill="FFFFFF"/>
        <w:spacing w:after="75" w:line="240" w:lineRule="auto"/>
        <w:rPr>
          <w:rFonts w:ascii="Segoe UI" w:eastAsia="Times New Roman" w:hAnsi="Segoe UI" w:cs="Segoe UI"/>
          <w:i/>
          <w:iCs/>
          <w:sz w:val="17"/>
          <w:szCs w:val="17"/>
        </w:rPr>
      </w:pPr>
      <w:r w:rsidRPr="00DD0C8F">
        <w:rPr>
          <w:rFonts w:ascii="Segoe UI" w:eastAsia="Times New Roman" w:hAnsi="Segoe UI" w:cs="Segoe UI"/>
          <w:i/>
          <w:iCs/>
          <w:sz w:val="17"/>
          <w:szCs w:val="17"/>
        </w:rPr>
        <w:t>Equal variances are assumed for this analysis.</w:t>
      </w: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417"/>
        <w:gridCol w:w="426"/>
        <w:gridCol w:w="793"/>
        <w:gridCol w:w="725"/>
        <w:gridCol w:w="972"/>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proofErr w:type="spellStart"/>
            <w:r w:rsidRPr="00DD0C8F">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SE Mean</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New Machine</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42.140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0.683</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0.22</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Old Machine</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43.230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0.750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0.24</w:t>
            </w:r>
          </w:p>
        </w:tc>
      </w:tr>
    </w:tbl>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828"/>
        <w:gridCol w:w="1822"/>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Pooled</w:t>
            </w:r>
            <w:r w:rsidRPr="00DD0C8F">
              <w:rPr>
                <w:rFonts w:ascii="Segoe UI" w:eastAsia="Times New Roman" w:hAnsi="Segoe UI" w:cs="Segoe UI"/>
                <w:sz w:val="20"/>
                <w:szCs w:val="20"/>
              </w:rPr>
              <w:br/>
            </w:r>
            <w:proofErr w:type="spellStart"/>
            <w:r w:rsidRPr="00DD0C8F">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95% Upper Bound</w:t>
            </w:r>
            <w:r w:rsidRPr="00DD0C8F">
              <w:rPr>
                <w:rFonts w:ascii="Segoe UI" w:eastAsia="Times New Roman" w:hAnsi="Segoe UI" w:cs="Segoe UI"/>
                <w:sz w:val="20"/>
                <w:szCs w:val="20"/>
              </w:rPr>
              <w:br/>
              <w:t>for Difference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-1.090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0.717</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-0.534</w:t>
            </w:r>
          </w:p>
        </w:tc>
      </w:tr>
    </w:tbl>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p>
    <w:p w:rsidR="00DD0C8F" w:rsidRPr="00DD0C8F" w:rsidRDefault="00DD0C8F" w:rsidP="00DD0C8F">
      <w:pPr>
        <w:shd w:val="clear" w:color="auto" w:fill="FFFFFF"/>
        <w:spacing w:after="75" w:line="240" w:lineRule="auto"/>
        <w:rPr>
          <w:rFonts w:ascii="Segoe UI Semibold" w:eastAsia="Times New Roman" w:hAnsi="Segoe UI Semibold" w:cs="Segoe UI Semibold"/>
          <w:color w:val="004D72"/>
          <w:sz w:val="26"/>
          <w:szCs w:val="26"/>
        </w:rPr>
      </w:pPr>
      <w:r w:rsidRPr="00DD0C8F">
        <w:rPr>
          <w:rFonts w:ascii="Segoe UI Semibold" w:eastAsia="Times New Roman" w:hAnsi="Segoe UI Semibold" w:cs="Segoe UI Semibold"/>
          <w:color w:val="004D72"/>
          <w:sz w:val="26"/>
          <w:szCs w:val="26"/>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2"/>
      </w:tblGrid>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Null hypothesis</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H₀: μ₁ - µ₂ = 0</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Alternative hypothesis</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rPr>
                <w:rFonts w:ascii="Segoe UI" w:eastAsia="Times New Roman" w:hAnsi="Segoe UI" w:cs="Segoe UI"/>
                <w:sz w:val="20"/>
                <w:szCs w:val="20"/>
              </w:rPr>
            </w:pPr>
            <w:r w:rsidRPr="00DD0C8F">
              <w:rPr>
                <w:rFonts w:ascii="Segoe UI" w:eastAsia="Times New Roman" w:hAnsi="Segoe UI" w:cs="Segoe UI"/>
                <w:sz w:val="20"/>
                <w:szCs w:val="20"/>
              </w:rPr>
              <w:t>H₁: μ₁ - µ₂ &lt; 0</w:t>
            </w:r>
          </w:p>
        </w:tc>
      </w:tr>
    </w:tbl>
    <w:p w:rsidR="00DD0C8F" w:rsidRPr="00DD0C8F" w:rsidRDefault="00DD0C8F" w:rsidP="00DD0C8F">
      <w:pPr>
        <w:shd w:val="clear" w:color="auto" w:fill="FFFFFF"/>
        <w:spacing w:after="75" w:line="240" w:lineRule="auto"/>
        <w:rPr>
          <w:rFonts w:ascii="Segoe UI" w:eastAsia="Times New Roman" w:hAnsi="Segoe UI" w:cs="Segoe UI"/>
          <w:vanish/>
          <w:sz w:val="20"/>
          <w:szCs w:val="20"/>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448"/>
        <w:gridCol w:w="895"/>
      </w:tblGrid>
      <w:tr w:rsidR="00DD0C8F" w:rsidRPr="00DD0C8F" w:rsidTr="00DD0C8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P-Value</w:t>
            </w:r>
          </w:p>
        </w:tc>
      </w:tr>
      <w:tr w:rsidR="00DD0C8F" w:rsidRPr="00DD0C8F" w:rsidTr="00DD0C8F">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-3.40</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18</w:t>
            </w:r>
          </w:p>
        </w:tc>
        <w:tc>
          <w:tcPr>
            <w:tcW w:w="0" w:type="auto"/>
            <w:shd w:val="clear" w:color="auto" w:fill="FFFFFF"/>
            <w:noWrap/>
            <w:tcMar>
              <w:top w:w="15" w:type="dxa"/>
              <w:left w:w="105" w:type="dxa"/>
              <w:bottom w:w="15" w:type="dxa"/>
              <w:right w:w="105" w:type="dxa"/>
            </w:tcMar>
            <w:hideMark/>
          </w:tcPr>
          <w:p w:rsidR="00DD0C8F" w:rsidRPr="00DD0C8F" w:rsidRDefault="00DD0C8F" w:rsidP="00DD0C8F">
            <w:pPr>
              <w:spacing w:before="90" w:after="0" w:line="240" w:lineRule="auto"/>
              <w:jc w:val="right"/>
              <w:rPr>
                <w:rFonts w:ascii="Segoe UI" w:eastAsia="Times New Roman" w:hAnsi="Segoe UI" w:cs="Segoe UI"/>
                <w:sz w:val="20"/>
                <w:szCs w:val="20"/>
              </w:rPr>
            </w:pPr>
            <w:r w:rsidRPr="00DD0C8F">
              <w:rPr>
                <w:rFonts w:ascii="Segoe UI" w:eastAsia="Times New Roman" w:hAnsi="Segoe UI" w:cs="Segoe UI"/>
                <w:sz w:val="20"/>
                <w:szCs w:val="20"/>
              </w:rPr>
              <w:t>0.002</w:t>
            </w:r>
          </w:p>
        </w:tc>
      </w:tr>
    </w:tbl>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p>
    <w:p w:rsidR="00DD0C8F" w:rsidRPr="00DD0C8F" w:rsidRDefault="00DD0C8F" w:rsidP="00DD0C8F">
      <w:pPr>
        <w:shd w:val="clear" w:color="auto" w:fill="FFFFFF"/>
        <w:spacing w:after="0" w:line="240" w:lineRule="auto"/>
        <w:rPr>
          <w:rFonts w:ascii="Segoe UI Semibold" w:eastAsia="Times New Roman" w:hAnsi="Segoe UI Semibold" w:cs="Segoe UI Semibold"/>
          <w:color w:val="2A6DB3"/>
          <w:sz w:val="24"/>
          <w:szCs w:val="24"/>
        </w:rPr>
      </w:pPr>
      <w:r w:rsidRPr="00DD0C8F">
        <w:rPr>
          <w:rFonts w:ascii="Segoe UI Semibold" w:eastAsia="Times New Roman" w:hAnsi="Segoe UI Semibold" w:cs="Segoe UI Semibold"/>
          <w:color w:val="2A6DB3"/>
          <w:sz w:val="24"/>
          <w:szCs w:val="24"/>
        </w:rPr>
        <w:t>Boxplot of New Machine, Old Machine</w:t>
      </w:r>
    </w:p>
    <w:p w:rsidR="00DD0C8F" w:rsidRDefault="00DD0C8F"/>
    <w:p w:rsidR="00DD0C8F" w:rsidRDefault="00DD0C8F">
      <w:r w:rsidRPr="00DD0C8F">
        <w:rPr>
          <w:noProof/>
        </w:rPr>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DD0C8F" w:rsidRDefault="00DD0C8F"/>
    <w:p w:rsidR="00DD0C8F" w:rsidRDefault="00DD0C8F">
      <w:pPr>
        <w:rPr>
          <w:b/>
        </w:rPr>
      </w:pPr>
      <w:r>
        <w:rPr>
          <w:b/>
        </w:rPr>
        <w:t>Conclusion:</w:t>
      </w:r>
    </w:p>
    <w:p w:rsidR="00DD0C8F" w:rsidRPr="00DD0C8F" w:rsidRDefault="00DD0C8F" w:rsidP="00DD0C8F">
      <w:r w:rsidRPr="00DD0C8F">
        <w:t>The boxplot clearly shows that the new m</w:t>
      </w:r>
      <w:bookmarkStart w:id="0" w:name="_GoBack"/>
      <w:bookmarkEnd w:id="0"/>
      <w:r w:rsidRPr="00DD0C8F">
        <w:t>achine has significantly lower mean that of old machine. the shape of the new machine is symmetrical while the shape of the old machine is slightly left skewed. but the variation of packing time both machine is almost same. Hence two machines are same in terms of process standard deviation but they are different in terms of average processing time.</w:t>
      </w:r>
    </w:p>
    <w:p w:rsidR="00DD0C8F" w:rsidRPr="00DD0C8F" w:rsidRDefault="00DD0C8F" w:rsidP="00DD0C8F">
      <w:r w:rsidRPr="00DD0C8F">
        <w:t>Since p- value &lt;&lt;α -value =0.05, we strongly reject the null hypothesis that the average packaging time is same and hence conclude that packaging time is significant difference. Comparing average packing of new machine (42.14) and that of new machine (43.23), the new machine is packaging significantly faster than the old machine. hence new machine is superior to old machine.</w:t>
      </w:r>
    </w:p>
    <w:p w:rsidR="00DD0C8F" w:rsidRDefault="00DD0C8F"/>
    <w:sectPr w:rsidR="00DD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8F"/>
    <w:rsid w:val="00563639"/>
    <w:rsid w:val="00DD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A133"/>
  <w15:chartTrackingRefBased/>
  <w15:docId w15:val="{230DB27A-F846-49B0-AD82-28243B52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935058">
      <w:bodyDiv w:val="1"/>
      <w:marLeft w:val="0"/>
      <w:marRight w:val="0"/>
      <w:marTop w:val="0"/>
      <w:marBottom w:val="0"/>
      <w:divBdr>
        <w:top w:val="none" w:sz="0" w:space="0" w:color="auto"/>
        <w:left w:val="none" w:sz="0" w:space="0" w:color="auto"/>
        <w:bottom w:val="none" w:sz="0" w:space="0" w:color="auto"/>
        <w:right w:val="none" w:sz="0" w:space="0" w:color="auto"/>
      </w:divBdr>
      <w:divsChild>
        <w:div w:id="967398920">
          <w:marLeft w:val="0"/>
          <w:marRight w:val="0"/>
          <w:marTop w:val="30"/>
          <w:marBottom w:val="0"/>
          <w:divBdr>
            <w:top w:val="none" w:sz="0" w:space="0" w:color="auto"/>
            <w:left w:val="none" w:sz="0" w:space="0" w:color="auto"/>
            <w:bottom w:val="none" w:sz="0" w:space="0" w:color="auto"/>
            <w:right w:val="none" w:sz="0" w:space="0" w:color="auto"/>
          </w:divBdr>
          <w:divsChild>
            <w:div w:id="1918511555">
              <w:marLeft w:val="0"/>
              <w:marRight w:val="0"/>
              <w:marTop w:val="0"/>
              <w:marBottom w:val="0"/>
              <w:divBdr>
                <w:top w:val="none" w:sz="0" w:space="0" w:color="auto"/>
                <w:left w:val="none" w:sz="0" w:space="0" w:color="auto"/>
                <w:bottom w:val="none" w:sz="0" w:space="0" w:color="auto"/>
                <w:right w:val="none" w:sz="0" w:space="0" w:color="auto"/>
              </w:divBdr>
            </w:div>
            <w:div w:id="1459566677">
              <w:marLeft w:val="0"/>
              <w:marRight w:val="0"/>
              <w:marTop w:val="0"/>
              <w:marBottom w:val="0"/>
              <w:divBdr>
                <w:top w:val="none" w:sz="0" w:space="0" w:color="auto"/>
                <w:left w:val="none" w:sz="0" w:space="0" w:color="auto"/>
                <w:bottom w:val="none" w:sz="0" w:space="0" w:color="auto"/>
                <w:right w:val="none" w:sz="0" w:space="0" w:color="auto"/>
              </w:divBdr>
              <w:divsChild>
                <w:div w:id="662976745">
                  <w:marLeft w:val="240"/>
                  <w:marRight w:val="90"/>
                  <w:marTop w:val="120"/>
                  <w:marBottom w:val="75"/>
                  <w:divBdr>
                    <w:top w:val="none" w:sz="0" w:space="0" w:color="auto"/>
                    <w:left w:val="none" w:sz="0" w:space="0" w:color="auto"/>
                    <w:bottom w:val="none" w:sz="0" w:space="0" w:color="auto"/>
                    <w:right w:val="none" w:sz="0" w:space="0" w:color="auto"/>
                  </w:divBdr>
                  <w:divsChild>
                    <w:div w:id="1101490634">
                      <w:marLeft w:val="0"/>
                      <w:marRight w:val="0"/>
                      <w:marTop w:val="0"/>
                      <w:marBottom w:val="0"/>
                      <w:divBdr>
                        <w:top w:val="none" w:sz="0" w:space="0" w:color="auto"/>
                        <w:left w:val="none" w:sz="0" w:space="0" w:color="auto"/>
                        <w:bottom w:val="none" w:sz="0" w:space="0" w:color="auto"/>
                        <w:right w:val="none" w:sz="0" w:space="0" w:color="auto"/>
                      </w:divBdr>
                    </w:div>
                    <w:div w:id="1386176346">
                      <w:marLeft w:val="180"/>
                      <w:marRight w:val="0"/>
                      <w:marTop w:val="180"/>
                      <w:marBottom w:val="0"/>
                      <w:divBdr>
                        <w:top w:val="none" w:sz="0" w:space="0" w:color="auto"/>
                        <w:left w:val="none" w:sz="0" w:space="0" w:color="auto"/>
                        <w:bottom w:val="none" w:sz="0" w:space="0" w:color="auto"/>
                        <w:right w:val="none" w:sz="0" w:space="0" w:color="auto"/>
                      </w:divBdr>
                    </w:div>
                  </w:divsChild>
                </w:div>
                <w:div w:id="1533302373">
                  <w:marLeft w:val="240"/>
                  <w:marRight w:val="90"/>
                  <w:marTop w:val="120"/>
                  <w:marBottom w:val="75"/>
                  <w:divBdr>
                    <w:top w:val="none" w:sz="0" w:space="0" w:color="auto"/>
                    <w:left w:val="none" w:sz="0" w:space="0" w:color="auto"/>
                    <w:bottom w:val="none" w:sz="0" w:space="0" w:color="auto"/>
                    <w:right w:val="none" w:sz="0" w:space="0" w:color="auto"/>
                  </w:divBdr>
                  <w:divsChild>
                    <w:div w:id="1429543395">
                      <w:marLeft w:val="0"/>
                      <w:marRight w:val="0"/>
                      <w:marTop w:val="0"/>
                      <w:marBottom w:val="0"/>
                      <w:divBdr>
                        <w:top w:val="none" w:sz="0" w:space="0" w:color="auto"/>
                        <w:left w:val="none" w:sz="0" w:space="0" w:color="auto"/>
                        <w:bottom w:val="none" w:sz="0" w:space="0" w:color="auto"/>
                        <w:right w:val="none" w:sz="0" w:space="0" w:color="auto"/>
                      </w:divBdr>
                    </w:div>
                  </w:divsChild>
                </w:div>
                <w:div w:id="1756047816">
                  <w:marLeft w:val="240"/>
                  <w:marRight w:val="90"/>
                  <w:marTop w:val="120"/>
                  <w:marBottom w:val="75"/>
                  <w:divBdr>
                    <w:top w:val="none" w:sz="0" w:space="0" w:color="auto"/>
                    <w:left w:val="none" w:sz="0" w:space="0" w:color="auto"/>
                    <w:bottom w:val="none" w:sz="0" w:space="0" w:color="auto"/>
                    <w:right w:val="none" w:sz="0" w:space="0" w:color="auto"/>
                  </w:divBdr>
                  <w:divsChild>
                    <w:div w:id="266960460">
                      <w:marLeft w:val="0"/>
                      <w:marRight w:val="0"/>
                      <w:marTop w:val="0"/>
                      <w:marBottom w:val="0"/>
                      <w:divBdr>
                        <w:top w:val="none" w:sz="0" w:space="0" w:color="auto"/>
                        <w:left w:val="none" w:sz="0" w:space="0" w:color="auto"/>
                        <w:bottom w:val="none" w:sz="0" w:space="0" w:color="auto"/>
                        <w:right w:val="none" w:sz="0" w:space="0" w:color="auto"/>
                      </w:divBdr>
                    </w:div>
                  </w:divsChild>
                </w:div>
                <w:div w:id="395133191">
                  <w:marLeft w:val="240"/>
                  <w:marRight w:val="90"/>
                  <w:marTop w:val="120"/>
                  <w:marBottom w:val="75"/>
                  <w:divBdr>
                    <w:top w:val="none" w:sz="0" w:space="0" w:color="auto"/>
                    <w:left w:val="none" w:sz="0" w:space="0" w:color="auto"/>
                    <w:bottom w:val="none" w:sz="0" w:space="0" w:color="auto"/>
                    <w:right w:val="none" w:sz="0" w:space="0" w:color="auto"/>
                  </w:divBdr>
                  <w:divsChild>
                    <w:div w:id="48043663">
                      <w:marLeft w:val="0"/>
                      <w:marRight w:val="0"/>
                      <w:marTop w:val="0"/>
                      <w:marBottom w:val="0"/>
                      <w:divBdr>
                        <w:top w:val="none" w:sz="0" w:space="0" w:color="auto"/>
                        <w:left w:val="none" w:sz="0" w:space="0" w:color="auto"/>
                        <w:bottom w:val="none" w:sz="0" w:space="0" w:color="auto"/>
                        <w:right w:val="none" w:sz="0" w:space="0" w:color="auto"/>
                      </w:divBdr>
                    </w:div>
                  </w:divsChild>
                </w:div>
                <w:div w:id="1697727064">
                  <w:marLeft w:val="240"/>
                  <w:marRight w:val="0"/>
                  <w:marTop w:val="120"/>
                  <w:marBottom w:val="0"/>
                  <w:divBdr>
                    <w:top w:val="none" w:sz="0" w:space="0" w:color="auto"/>
                    <w:left w:val="none" w:sz="0" w:space="0" w:color="auto"/>
                    <w:bottom w:val="none" w:sz="0" w:space="0" w:color="auto"/>
                    <w:right w:val="none" w:sz="0" w:space="0" w:color="auto"/>
                  </w:divBdr>
                  <w:divsChild>
                    <w:div w:id="1434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2023-06-16T06:54:00Z</dcterms:created>
  <dcterms:modified xsi:type="dcterms:W3CDTF">2023-06-16T06:57:00Z</dcterms:modified>
</cp:coreProperties>
</file>